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D0F1D5" w14:textId="2EA2C24A" w:rsidR="00894B04" w:rsidRPr="00A55434" w:rsidRDefault="00A55434" w:rsidP="00894B04">
      <w:pPr>
        <w:jc w:val="center"/>
        <w:rPr>
          <w:rFonts w:asciiTheme="minorHAnsi" w:hAnsiTheme="minorHAnsi" w:cstheme="minorHAnsi"/>
          <w:color w:val="244061" w:themeColor="accent1" w:themeShade="80"/>
        </w:rPr>
      </w:pPr>
      <w:bookmarkStart w:id="0" w:name="_Hlk23172095"/>
      <w:r w:rsidRPr="00A55434">
        <w:rPr>
          <w:rFonts w:asciiTheme="minorHAnsi" w:hAnsiTheme="minorHAnsi" w:cstheme="minorHAnsi"/>
          <w:color w:val="244061" w:themeColor="accent1" w:themeShade="80"/>
        </w:rPr>
        <w:t>Summaries of Rese</w:t>
      </w:r>
      <w:r>
        <w:rPr>
          <w:rFonts w:asciiTheme="minorHAnsi" w:hAnsiTheme="minorHAnsi" w:cstheme="minorHAnsi"/>
          <w:color w:val="244061" w:themeColor="accent1" w:themeShade="80"/>
        </w:rPr>
        <w:t>a</w:t>
      </w:r>
      <w:r w:rsidRPr="00A55434">
        <w:rPr>
          <w:rFonts w:asciiTheme="minorHAnsi" w:hAnsiTheme="minorHAnsi" w:cstheme="minorHAnsi"/>
          <w:color w:val="244061" w:themeColor="accent1" w:themeShade="80"/>
        </w:rPr>
        <w:t>rch</w:t>
      </w:r>
      <w:r w:rsidR="00894B04" w:rsidRPr="00A55434">
        <w:rPr>
          <w:rFonts w:asciiTheme="minorHAnsi" w:hAnsiTheme="minorHAnsi" w:cstheme="minorHAnsi"/>
          <w:color w:val="244061" w:themeColor="accent1" w:themeShade="80"/>
        </w:rPr>
        <w:t xml:space="preserve"> about Gender Equity</w:t>
      </w:r>
    </w:p>
    <w:p w14:paraId="5C7D8E27" w14:textId="703CD264" w:rsidR="00AE05EA" w:rsidRDefault="002A2E52" w:rsidP="00894B04">
      <w:pPr>
        <w:jc w:val="center"/>
        <w:rPr>
          <w:rFonts w:asciiTheme="minorHAnsi" w:hAnsiTheme="minorHAnsi" w:cstheme="minorHAnsi"/>
          <w:b/>
          <w:bCs/>
          <w:color w:val="244061" w:themeColor="accent1" w:themeShade="80"/>
          <w:sz w:val="32"/>
          <w:szCs w:val="32"/>
        </w:rPr>
      </w:pPr>
      <w:r>
        <w:rPr>
          <w:rFonts w:asciiTheme="minorHAnsi" w:hAnsiTheme="minorHAnsi" w:cstheme="minorHAnsi"/>
          <w:b/>
          <w:bCs/>
          <w:color w:val="244061" w:themeColor="accent1" w:themeShade="80"/>
          <w:sz w:val="32"/>
          <w:szCs w:val="32"/>
        </w:rPr>
        <w:t xml:space="preserve">Prevalence of </w:t>
      </w:r>
      <w:r w:rsidR="00680641">
        <w:rPr>
          <w:rFonts w:asciiTheme="minorHAnsi" w:hAnsiTheme="minorHAnsi" w:cstheme="minorHAnsi"/>
          <w:b/>
          <w:bCs/>
          <w:color w:val="244061" w:themeColor="accent1" w:themeShade="80"/>
          <w:sz w:val="32"/>
          <w:szCs w:val="32"/>
        </w:rPr>
        <w:t>Family Violence</w:t>
      </w:r>
      <w:r w:rsidR="00845324">
        <w:rPr>
          <w:rFonts w:asciiTheme="minorHAnsi" w:hAnsiTheme="minorHAnsi" w:cstheme="minorHAnsi"/>
          <w:b/>
          <w:bCs/>
          <w:color w:val="244061" w:themeColor="accent1" w:themeShade="80"/>
          <w:sz w:val="32"/>
          <w:szCs w:val="32"/>
        </w:rPr>
        <w:t>, Harassment and Stalking</w:t>
      </w:r>
    </w:p>
    <w:p w14:paraId="293FCD98" w14:textId="77777777" w:rsidR="002461EF" w:rsidRDefault="002461EF" w:rsidP="0019655D">
      <w:pPr>
        <w:tabs>
          <w:tab w:val="left" w:pos="284"/>
        </w:tabs>
        <w:spacing w:line="360" w:lineRule="auto"/>
        <w:jc w:val="both"/>
        <w:rPr>
          <w:rFonts w:asciiTheme="minorHAnsi" w:hAnsiTheme="minorHAnsi" w:cstheme="minorHAnsi"/>
          <w:noProof/>
          <w:sz w:val="22"/>
          <w:szCs w:val="22"/>
        </w:rPr>
      </w:pPr>
    </w:p>
    <w:p w14:paraId="47D9E432" w14:textId="0E281DFB" w:rsidR="00845F9C" w:rsidRPr="00C3686E" w:rsidRDefault="008C61EB" w:rsidP="0019655D">
      <w:pPr>
        <w:tabs>
          <w:tab w:val="left" w:pos="284"/>
        </w:tabs>
        <w:spacing w:line="360" w:lineRule="auto"/>
        <w:jc w:val="both"/>
        <w:rPr>
          <w:rFonts w:asciiTheme="minorHAnsi" w:hAnsiTheme="minorHAnsi" w:cstheme="minorHAnsi"/>
          <w:noProof/>
          <w:sz w:val="22"/>
          <w:szCs w:val="22"/>
        </w:rPr>
      </w:pPr>
      <w:r w:rsidRPr="00C3686E">
        <w:rPr>
          <w:rFonts w:asciiTheme="minorHAnsi" w:hAnsiTheme="minorHAnsi" w:cstheme="minorHAnsi"/>
          <w:noProof/>
          <w:sz w:val="22"/>
          <w:szCs w:val="22"/>
        </w:rPr>
        <w:t>Violence within families, including the abuse of children, cannot be measured with accuracy</w:t>
      </w:r>
      <w:r w:rsidR="0021444E" w:rsidRPr="00C3686E">
        <w:rPr>
          <w:rFonts w:asciiTheme="minorHAnsi" w:hAnsiTheme="minorHAnsi" w:cstheme="minorHAnsi"/>
          <w:noProof/>
          <w:sz w:val="22"/>
          <w:szCs w:val="22"/>
        </w:rPr>
        <w:t xml:space="preserve"> by records compiled by the police, courts or specialist agencies</w:t>
      </w:r>
      <w:r w:rsidRPr="00C3686E">
        <w:rPr>
          <w:rFonts w:asciiTheme="minorHAnsi" w:hAnsiTheme="minorHAnsi" w:cstheme="minorHAnsi"/>
          <w:noProof/>
          <w:sz w:val="22"/>
          <w:szCs w:val="22"/>
        </w:rPr>
        <w:t xml:space="preserve">. </w:t>
      </w:r>
      <w:r w:rsidR="00891AF7" w:rsidRPr="00C3686E">
        <w:rPr>
          <w:rFonts w:asciiTheme="minorHAnsi" w:hAnsiTheme="minorHAnsi" w:cstheme="minorHAnsi"/>
          <w:noProof/>
          <w:sz w:val="22"/>
          <w:szCs w:val="22"/>
        </w:rPr>
        <w:t>Instead</w:t>
      </w:r>
      <w:r w:rsidR="00AE21B3" w:rsidRPr="00C3686E">
        <w:rPr>
          <w:rFonts w:asciiTheme="minorHAnsi" w:hAnsiTheme="minorHAnsi" w:cstheme="minorHAnsi"/>
          <w:noProof/>
          <w:sz w:val="22"/>
          <w:szCs w:val="22"/>
        </w:rPr>
        <w:t>,</w:t>
      </w:r>
      <w:r w:rsidR="00916BFA" w:rsidRPr="00C3686E">
        <w:rPr>
          <w:rFonts w:asciiTheme="minorHAnsi" w:hAnsiTheme="minorHAnsi" w:cstheme="minorHAnsi"/>
          <w:noProof/>
          <w:sz w:val="22"/>
          <w:szCs w:val="22"/>
        </w:rPr>
        <w:t xml:space="preserve"> random</w:t>
      </w:r>
      <w:r w:rsidR="00412A77" w:rsidRPr="00C3686E">
        <w:rPr>
          <w:rFonts w:asciiTheme="minorHAnsi" w:hAnsiTheme="minorHAnsi" w:cstheme="minorHAnsi"/>
          <w:noProof/>
          <w:sz w:val="22"/>
          <w:szCs w:val="22"/>
        </w:rPr>
        <w:t xml:space="preserve"> su</w:t>
      </w:r>
      <w:r w:rsidR="00916BFA" w:rsidRPr="00C3686E">
        <w:rPr>
          <w:rFonts w:asciiTheme="minorHAnsi" w:hAnsiTheme="minorHAnsi" w:cstheme="minorHAnsi"/>
          <w:noProof/>
          <w:sz w:val="22"/>
          <w:szCs w:val="22"/>
        </w:rPr>
        <w:t>rveys of the general population</w:t>
      </w:r>
      <w:r w:rsidR="00412A77" w:rsidRPr="00C3686E">
        <w:rPr>
          <w:rFonts w:asciiTheme="minorHAnsi" w:hAnsiTheme="minorHAnsi" w:cstheme="minorHAnsi"/>
          <w:noProof/>
          <w:sz w:val="22"/>
          <w:szCs w:val="22"/>
        </w:rPr>
        <w:t xml:space="preserve"> offer </w:t>
      </w:r>
      <w:r w:rsidR="00AE21B3" w:rsidRPr="00C3686E">
        <w:rPr>
          <w:rFonts w:asciiTheme="minorHAnsi" w:hAnsiTheme="minorHAnsi" w:cstheme="minorHAnsi"/>
          <w:noProof/>
          <w:sz w:val="22"/>
          <w:szCs w:val="22"/>
        </w:rPr>
        <w:t>the best available</w:t>
      </w:r>
      <w:r w:rsidR="00412A77" w:rsidRPr="00C3686E">
        <w:rPr>
          <w:rFonts w:asciiTheme="minorHAnsi" w:hAnsiTheme="minorHAnsi" w:cstheme="minorHAnsi"/>
          <w:noProof/>
          <w:sz w:val="22"/>
          <w:szCs w:val="22"/>
        </w:rPr>
        <w:t xml:space="preserve"> method for measuring the prevalence of the </w:t>
      </w:r>
      <w:r w:rsidR="00916BFA" w:rsidRPr="00C3686E">
        <w:rPr>
          <w:rFonts w:asciiTheme="minorHAnsi" w:hAnsiTheme="minorHAnsi" w:cstheme="minorHAnsi"/>
          <w:noProof/>
          <w:sz w:val="22"/>
          <w:szCs w:val="22"/>
        </w:rPr>
        <w:t>such violence</w:t>
      </w:r>
      <w:r w:rsidR="00412A77" w:rsidRPr="00C3686E">
        <w:rPr>
          <w:rFonts w:asciiTheme="minorHAnsi" w:hAnsiTheme="minorHAnsi" w:cstheme="minorHAnsi"/>
          <w:noProof/>
          <w:sz w:val="22"/>
          <w:szCs w:val="22"/>
        </w:rPr>
        <w:t xml:space="preserve">. </w:t>
      </w:r>
    </w:p>
    <w:bookmarkEnd w:id="0"/>
    <w:p w14:paraId="3E38FF77" w14:textId="77777777" w:rsidR="00C3686E" w:rsidRPr="00C3686E" w:rsidRDefault="00C3686E" w:rsidP="00C3686E">
      <w:pPr>
        <w:spacing w:line="312" w:lineRule="auto"/>
        <w:jc w:val="both"/>
        <w:rPr>
          <w:rFonts w:asciiTheme="minorHAnsi" w:hAnsiTheme="minorHAnsi" w:cstheme="minorHAnsi"/>
          <w:sz w:val="22"/>
          <w:szCs w:val="22"/>
        </w:rPr>
      </w:pPr>
      <w:r w:rsidRPr="00C3686E">
        <w:rPr>
          <w:rFonts w:asciiTheme="minorHAnsi" w:hAnsiTheme="minorHAnsi" w:cstheme="minorHAnsi"/>
          <w:sz w:val="22"/>
          <w:szCs w:val="22"/>
        </w:rPr>
        <w:t xml:space="preserve">The Personal Safety Survey was conducted by the Australian Bureau of Statistics from March 2021 to May 2022, through face-to-face interviews with 11,905 Australians – including 9,832 women and 2,073 men – aged 18+ and living in private dwellings. </w:t>
      </w:r>
    </w:p>
    <w:p w14:paraId="2BAD3AD8" w14:textId="77777777" w:rsidR="00C3686E" w:rsidRPr="00C3686E" w:rsidRDefault="00C3686E" w:rsidP="00C3686E">
      <w:pPr>
        <w:spacing w:line="312" w:lineRule="auto"/>
        <w:jc w:val="both"/>
        <w:rPr>
          <w:rFonts w:asciiTheme="minorHAnsi" w:hAnsiTheme="minorHAnsi" w:cstheme="minorHAnsi"/>
          <w:sz w:val="22"/>
          <w:szCs w:val="22"/>
        </w:rPr>
      </w:pPr>
      <w:r w:rsidRPr="00C3686E">
        <w:rPr>
          <w:rFonts w:asciiTheme="minorHAnsi" w:hAnsiTheme="minorHAnsi" w:cstheme="minorHAnsi"/>
          <w:sz w:val="22"/>
          <w:szCs w:val="22"/>
        </w:rPr>
        <w:t>Survey participants were asked about their experiences of physical and sexual threats or assault; sexual harassment and stalking; abuse and witnessing of violence at home, during their childhood; and perceptions of personal safety alone after dark.</w:t>
      </w:r>
    </w:p>
    <w:p w14:paraId="2FB7364E" w14:textId="77777777" w:rsidR="00C3686E" w:rsidRPr="00C3686E" w:rsidRDefault="00C3686E" w:rsidP="00C3686E">
      <w:pPr>
        <w:spacing w:line="312" w:lineRule="auto"/>
        <w:jc w:val="both"/>
        <w:rPr>
          <w:rFonts w:asciiTheme="minorHAnsi" w:hAnsiTheme="minorHAnsi" w:cstheme="minorHAnsi"/>
          <w:sz w:val="22"/>
          <w:szCs w:val="22"/>
        </w:rPr>
      </w:pPr>
    </w:p>
    <w:p w14:paraId="22AB0CE7" w14:textId="77777777" w:rsidR="00C3686E" w:rsidRPr="00C3686E" w:rsidRDefault="00C3686E" w:rsidP="00C3686E">
      <w:pPr>
        <w:spacing w:line="312" w:lineRule="auto"/>
        <w:jc w:val="both"/>
        <w:rPr>
          <w:rFonts w:asciiTheme="minorHAnsi" w:hAnsiTheme="minorHAnsi" w:cstheme="minorHAnsi"/>
          <w:b/>
          <w:bCs/>
          <w:sz w:val="22"/>
          <w:szCs w:val="22"/>
        </w:rPr>
      </w:pPr>
      <w:r w:rsidRPr="00C3686E">
        <w:rPr>
          <w:rFonts w:asciiTheme="minorHAnsi" w:hAnsiTheme="minorHAnsi" w:cstheme="minorHAnsi"/>
          <w:b/>
          <w:bCs/>
          <w:sz w:val="22"/>
          <w:szCs w:val="22"/>
        </w:rPr>
        <w:t>Violence</w:t>
      </w:r>
    </w:p>
    <w:p w14:paraId="171AC719" w14:textId="07D1145B" w:rsidR="00C3686E" w:rsidRDefault="00C3686E" w:rsidP="00C3686E">
      <w:pPr>
        <w:spacing w:line="312" w:lineRule="auto"/>
        <w:jc w:val="both"/>
        <w:rPr>
          <w:rFonts w:asciiTheme="minorHAnsi" w:hAnsiTheme="minorHAnsi" w:cstheme="minorHAnsi"/>
          <w:sz w:val="22"/>
          <w:szCs w:val="22"/>
        </w:rPr>
      </w:pPr>
      <w:r w:rsidRPr="00C3686E">
        <w:rPr>
          <w:rFonts w:asciiTheme="minorHAnsi" w:hAnsiTheme="minorHAnsi" w:cstheme="minorHAnsi"/>
          <w:noProof/>
          <w:sz w:val="22"/>
          <w:szCs w:val="22"/>
        </w:rPr>
        <w:drawing>
          <wp:anchor distT="0" distB="0" distL="114300" distR="114300" simplePos="0" relativeHeight="251701248" behindDoc="0" locked="0" layoutInCell="1" allowOverlap="1" wp14:anchorId="367F921F" wp14:editId="21458524">
            <wp:simplePos x="0" y="0"/>
            <wp:positionH relativeFrom="column">
              <wp:posOffset>73025</wp:posOffset>
            </wp:positionH>
            <wp:positionV relativeFrom="paragraph">
              <wp:posOffset>706120</wp:posOffset>
            </wp:positionV>
            <wp:extent cx="3839845" cy="2419350"/>
            <wp:effectExtent l="0" t="0" r="8255" b="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39845" cy="2419350"/>
                    </a:xfrm>
                    <a:prstGeom prst="rect">
                      <a:avLst/>
                    </a:prstGeom>
                    <a:noFill/>
                  </pic:spPr>
                </pic:pic>
              </a:graphicData>
            </a:graphic>
            <wp14:sizeRelH relativeFrom="page">
              <wp14:pctWidth>0</wp14:pctWidth>
            </wp14:sizeRelH>
            <wp14:sizeRelV relativeFrom="page">
              <wp14:pctHeight>0</wp14:pctHeight>
            </wp14:sizeRelV>
          </wp:anchor>
        </w:drawing>
      </w:r>
      <w:r w:rsidRPr="00C3686E">
        <w:rPr>
          <w:rFonts w:asciiTheme="minorHAnsi" w:hAnsiTheme="minorHAnsi" w:cstheme="minorHAnsi"/>
          <w:sz w:val="22"/>
          <w:szCs w:val="22"/>
        </w:rPr>
        <w:t xml:space="preserve">Thirty-nine per cent of women and 43% of men had experienced violence (assault or threats of assault) since the age of 15. For women, violence was less likely to have been perpetrated by a stranger than for men, and more likely to have been committed by someone known to them, including by an intimate partner - that is, a cohabiting partner, boy- or </w:t>
      </w:r>
      <w:proofErr w:type="gramStart"/>
      <w:r w:rsidRPr="00C3686E">
        <w:rPr>
          <w:rFonts w:asciiTheme="minorHAnsi" w:hAnsiTheme="minorHAnsi" w:cstheme="minorHAnsi"/>
          <w:sz w:val="22"/>
          <w:szCs w:val="22"/>
        </w:rPr>
        <w:t>girl-friend</w:t>
      </w:r>
      <w:proofErr w:type="gramEnd"/>
      <w:r w:rsidRPr="00C3686E">
        <w:rPr>
          <w:rFonts w:asciiTheme="minorHAnsi" w:hAnsiTheme="minorHAnsi" w:cstheme="minorHAnsi"/>
          <w:sz w:val="22"/>
          <w:szCs w:val="22"/>
        </w:rPr>
        <w:t>, or date, or ex-boy- or girl-friend.</w:t>
      </w:r>
    </w:p>
    <w:p w14:paraId="7B06A373" w14:textId="48B95C0D" w:rsidR="00C3686E" w:rsidRDefault="00C3686E" w:rsidP="00C3686E">
      <w:pPr>
        <w:spacing w:line="312" w:lineRule="auto"/>
        <w:jc w:val="both"/>
        <w:rPr>
          <w:rFonts w:asciiTheme="minorHAnsi" w:hAnsiTheme="minorHAnsi" w:cstheme="minorHAnsi"/>
          <w:sz w:val="22"/>
          <w:szCs w:val="22"/>
        </w:rPr>
      </w:pPr>
    </w:p>
    <w:p w14:paraId="0A0D4082" w14:textId="77777777" w:rsidR="00C3686E" w:rsidRPr="00C3686E" w:rsidRDefault="00C3686E" w:rsidP="00C3686E">
      <w:pPr>
        <w:spacing w:line="312" w:lineRule="auto"/>
        <w:jc w:val="both"/>
        <w:rPr>
          <w:rFonts w:asciiTheme="minorHAnsi" w:hAnsiTheme="minorHAnsi" w:cstheme="minorHAnsi"/>
          <w:sz w:val="22"/>
          <w:szCs w:val="22"/>
        </w:rPr>
      </w:pPr>
    </w:p>
    <w:p w14:paraId="7954C100" w14:textId="1BCE8112" w:rsidR="00C3686E" w:rsidRPr="00C3686E" w:rsidRDefault="00C3686E" w:rsidP="00C3686E">
      <w:pPr>
        <w:jc w:val="both"/>
        <w:rPr>
          <w:rFonts w:asciiTheme="minorHAnsi" w:hAnsiTheme="minorHAnsi" w:cstheme="minorHAnsi"/>
          <w:color w:val="7F7F7F" w:themeColor="text1" w:themeTint="80"/>
          <w:sz w:val="20"/>
          <w:szCs w:val="20"/>
        </w:rPr>
      </w:pPr>
      <w:r w:rsidRPr="00C3686E">
        <w:rPr>
          <w:rFonts w:asciiTheme="minorHAnsi" w:hAnsiTheme="minorHAnsi" w:cstheme="minorHAnsi"/>
          <w:color w:val="7F7F7F" w:themeColor="text1" w:themeTint="80"/>
          <w:sz w:val="20"/>
          <w:szCs w:val="20"/>
        </w:rPr>
        <w:t>Per cent of persons who experienced violence since age 15, by sex and perpetrator type: Aus., 2021/22</w:t>
      </w:r>
    </w:p>
    <w:p w14:paraId="437D22AC" w14:textId="2F6E7BA0" w:rsidR="00C3686E" w:rsidRPr="00C3686E" w:rsidRDefault="00C3686E" w:rsidP="00C3686E">
      <w:pPr>
        <w:spacing w:line="312" w:lineRule="auto"/>
        <w:jc w:val="both"/>
        <w:rPr>
          <w:rFonts w:asciiTheme="minorHAnsi" w:hAnsiTheme="minorHAnsi" w:cstheme="minorHAnsi"/>
          <w:sz w:val="22"/>
          <w:szCs w:val="22"/>
        </w:rPr>
      </w:pPr>
    </w:p>
    <w:p w14:paraId="32A7FC1F" w14:textId="2133454B" w:rsidR="00C3686E" w:rsidRDefault="00C3686E" w:rsidP="00C3686E">
      <w:pPr>
        <w:spacing w:line="312" w:lineRule="auto"/>
        <w:jc w:val="both"/>
        <w:rPr>
          <w:rFonts w:asciiTheme="minorHAnsi" w:hAnsiTheme="minorHAnsi" w:cstheme="minorHAnsi"/>
          <w:sz w:val="22"/>
          <w:szCs w:val="22"/>
        </w:rPr>
      </w:pPr>
    </w:p>
    <w:p w14:paraId="46F6107C" w14:textId="4C594CF2" w:rsidR="00C3686E" w:rsidRDefault="00C3686E" w:rsidP="00C3686E">
      <w:pPr>
        <w:spacing w:line="312" w:lineRule="auto"/>
        <w:jc w:val="both"/>
        <w:rPr>
          <w:rFonts w:asciiTheme="minorHAnsi" w:hAnsiTheme="minorHAnsi" w:cstheme="minorHAnsi"/>
          <w:sz w:val="22"/>
          <w:szCs w:val="22"/>
        </w:rPr>
      </w:pPr>
    </w:p>
    <w:p w14:paraId="13D1C5B7" w14:textId="0DFCA584" w:rsidR="00C3686E" w:rsidRDefault="00C3686E" w:rsidP="00C3686E">
      <w:pPr>
        <w:spacing w:line="312" w:lineRule="auto"/>
        <w:jc w:val="both"/>
        <w:rPr>
          <w:rFonts w:asciiTheme="minorHAnsi" w:hAnsiTheme="minorHAnsi" w:cstheme="minorHAnsi"/>
          <w:sz w:val="22"/>
          <w:szCs w:val="22"/>
        </w:rPr>
      </w:pPr>
    </w:p>
    <w:p w14:paraId="12554AF2" w14:textId="3C354F92" w:rsidR="00C3686E" w:rsidRPr="00C3686E" w:rsidRDefault="00C3686E" w:rsidP="00C3686E">
      <w:pPr>
        <w:spacing w:line="312" w:lineRule="auto"/>
        <w:jc w:val="both"/>
        <w:rPr>
          <w:rFonts w:asciiTheme="minorHAnsi" w:hAnsiTheme="minorHAnsi" w:cstheme="minorHAnsi"/>
          <w:sz w:val="22"/>
          <w:szCs w:val="22"/>
        </w:rPr>
      </w:pPr>
    </w:p>
    <w:p w14:paraId="718010B8" w14:textId="74B5C51D" w:rsidR="00C3686E" w:rsidRPr="00C3686E" w:rsidRDefault="00C3686E" w:rsidP="00C3686E">
      <w:pPr>
        <w:spacing w:line="312" w:lineRule="auto"/>
        <w:jc w:val="both"/>
        <w:rPr>
          <w:rFonts w:asciiTheme="minorHAnsi" w:hAnsiTheme="minorHAnsi" w:cstheme="minorHAnsi"/>
          <w:sz w:val="22"/>
          <w:szCs w:val="22"/>
        </w:rPr>
      </w:pPr>
      <w:r w:rsidRPr="00C3686E">
        <w:rPr>
          <w:rFonts w:asciiTheme="minorHAnsi" w:hAnsiTheme="minorHAnsi" w:cstheme="minorHAnsi"/>
          <w:sz w:val="22"/>
          <w:szCs w:val="22"/>
        </w:rPr>
        <w:t xml:space="preserve">In the previous 12 months, 4.2% of women and 6% of men had experienced violence. </w:t>
      </w:r>
    </w:p>
    <w:p w14:paraId="15492282" w14:textId="29901E59" w:rsidR="00C3686E" w:rsidRDefault="00C3686E" w:rsidP="00C3686E">
      <w:pPr>
        <w:spacing w:line="312" w:lineRule="auto"/>
        <w:jc w:val="both"/>
        <w:rPr>
          <w:rFonts w:asciiTheme="minorHAnsi" w:hAnsiTheme="minorHAnsi" w:cstheme="minorHAnsi"/>
          <w:sz w:val="22"/>
          <w:szCs w:val="22"/>
        </w:rPr>
      </w:pPr>
      <w:r w:rsidRPr="00C3686E">
        <w:rPr>
          <w:rFonts w:asciiTheme="minorHAnsi" w:hAnsiTheme="minorHAnsi" w:cstheme="minorHAnsi"/>
          <w:noProof/>
          <w:sz w:val="22"/>
          <w:szCs w:val="22"/>
        </w:rPr>
        <w:drawing>
          <wp:anchor distT="0" distB="0" distL="114300" distR="114300" simplePos="0" relativeHeight="251702272" behindDoc="0" locked="0" layoutInCell="1" allowOverlap="1" wp14:anchorId="6CA7653E" wp14:editId="35CCAB36">
            <wp:simplePos x="0" y="0"/>
            <wp:positionH relativeFrom="margin">
              <wp:align>right</wp:align>
            </wp:positionH>
            <wp:positionV relativeFrom="paragraph">
              <wp:posOffset>10795</wp:posOffset>
            </wp:positionV>
            <wp:extent cx="3345836" cy="2197100"/>
            <wp:effectExtent l="0" t="0" r="6985" b="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45836" cy="2197100"/>
                    </a:xfrm>
                    <a:prstGeom prst="rect">
                      <a:avLst/>
                    </a:prstGeom>
                    <a:noFill/>
                  </pic:spPr>
                </pic:pic>
              </a:graphicData>
            </a:graphic>
            <wp14:sizeRelH relativeFrom="page">
              <wp14:pctWidth>0</wp14:pctWidth>
            </wp14:sizeRelH>
            <wp14:sizeRelV relativeFrom="page">
              <wp14:pctHeight>0</wp14:pctHeight>
            </wp14:sizeRelV>
          </wp:anchor>
        </w:drawing>
      </w:r>
      <w:r w:rsidRPr="00C3686E">
        <w:rPr>
          <w:rFonts w:asciiTheme="minorHAnsi" w:hAnsiTheme="minorHAnsi" w:cstheme="minorHAnsi"/>
          <w:sz w:val="22"/>
          <w:szCs w:val="22"/>
        </w:rPr>
        <w:t>Among women, 1.4% experienced violence by strangers, and 3.3% by known persons, including intimate partners (1.5%).</w:t>
      </w:r>
    </w:p>
    <w:p w14:paraId="18E90BE9" w14:textId="3F7A9960" w:rsidR="00C3686E" w:rsidRDefault="00C3686E" w:rsidP="00C3686E">
      <w:pPr>
        <w:spacing w:line="312" w:lineRule="auto"/>
        <w:jc w:val="both"/>
        <w:rPr>
          <w:rFonts w:asciiTheme="minorHAnsi" w:hAnsiTheme="minorHAnsi" w:cstheme="minorHAnsi"/>
          <w:sz w:val="22"/>
          <w:szCs w:val="22"/>
        </w:rPr>
      </w:pPr>
    </w:p>
    <w:p w14:paraId="5D5AC666" w14:textId="77777777" w:rsidR="00C3686E" w:rsidRPr="00C3686E" w:rsidRDefault="00C3686E" w:rsidP="00C3686E">
      <w:pPr>
        <w:spacing w:line="312" w:lineRule="auto"/>
        <w:jc w:val="both"/>
        <w:rPr>
          <w:rFonts w:asciiTheme="minorHAnsi" w:hAnsiTheme="minorHAnsi" w:cstheme="minorHAnsi"/>
          <w:sz w:val="22"/>
          <w:szCs w:val="22"/>
        </w:rPr>
      </w:pPr>
    </w:p>
    <w:p w14:paraId="14967C2A" w14:textId="3F790141" w:rsidR="00C3686E" w:rsidRPr="00C3686E" w:rsidRDefault="00C3686E" w:rsidP="00C3686E">
      <w:pPr>
        <w:jc w:val="both"/>
        <w:rPr>
          <w:rFonts w:asciiTheme="minorHAnsi" w:hAnsiTheme="minorHAnsi" w:cstheme="minorHAnsi"/>
          <w:color w:val="7F7F7F" w:themeColor="text1" w:themeTint="80"/>
          <w:sz w:val="20"/>
          <w:szCs w:val="20"/>
        </w:rPr>
      </w:pPr>
      <w:r w:rsidRPr="00C3686E">
        <w:rPr>
          <w:rFonts w:asciiTheme="minorHAnsi" w:hAnsiTheme="minorHAnsi" w:cstheme="minorHAnsi"/>
          <w:color w:val="7F7F7F" w:themeColor="text1" w:themeTint="80"/>
          <w:sz w:val="20"/>
          <w:szCs w:val="20"/>
        </w:rPr>
        <w:t>Per cent of women who experienced violence in the previous 12 months, by perpetrator type: Aus., 2021/22</w:t>
      </w:r>
    </w:p>
    <w:p w14:paraId="6C26222F" w14:textId="7E0B7A1C" w:rsidR="00C3686E" w:rsidRPr="00C3686E" w:rsidRDefault="00C3686E" w:rsidP="00C3686E">
      <w:pPr>
        <w:spacing w:line="312" w:lineRule="auto"/>
        <w:jc w:val="both"/>
        <w:rPr>
          <w:rFonts w:asciiTheme="minorHAnsi" w:hAnsiTheme="minorHAnsi" w:cstheme="minorHAnsi"/>
          <w:sz w:val="22"/>
          <w:szCs w:val="22"/>
        </w:rPr>
      </w:pPr>
    </w:p>
    <w:p w14:paraId="17EFC7C4" w14:textId="77777777" w:rsidR="00C3686E" w:rsidRDefault="00C3686E" w:rsidP="00C3686E">
      <w:pPr>
        <w:spacing w:line="312" w:lineRule="auto"/>
        <w:jc w:val="both"/>
        <w:rPr>
          <w:rFonts w:asciiTheme="minorHAnsi" w:hAnsiTheme="minorHAnsi" w:cstheme="minorHAnsi"/>
          <w:b/>
          <w:bCs/>
          <w:sz w:val="22"/>
          <w:szCs w:val="22"/>
        </w:rPr>
      </w:pPr>
    </w:p>
    <w:p w14:paraId="036920F4" w14:textId="77777777" w:rsidR="00C3686E" w:rsidRDefault="00C3686E" w:rsidP="00C3686E">
      <w:pPr>
        <w:spacing w:line="312" w:lineRule="auto"/>
        <w:jc w:val="both"/>
        <w:rPr>
          <w:rFonts w:asciiTheme="minorHAnsi" w:hAnsiTheme="minorHAnsi" w:cstheme="minorHAnsi"/>
          <w:b/>
          <w:bCs/>
          <w:sz w:val="22"/>
          <w:szCs w:val="22"/>
        </w:rPr>
      </w:pPr>
    </w:p>
    <w:p w14:paraId="0DFA577E" w14:textId="1BA316B7" w:rsidR="00C3686E" w:rsidRPr="00C3686E" w:rsidRDefault="00C3686E" w:rsidP="00C3686E">
      <w:pPr>
        <w:spacing w:line="312" w:lineRule="auto"/>
        <w:jc w:val="both"/>
        <w:rPr>
          <w:rFonts w:asciiTheme="minorHAnsi" w:hAnsiTheme="minorHAnsi" w:cstheme="minorHAnsi"/>
          <w:b/>
          <w:bCs/>
          <w:sz w:val="22"/>
          <w:szCs w:val="22"/>
        </w:rPr>
      </w:pPr>
      <w:r w:rsidRPr="00C3686E">
        <w:rPr>
          <w:rFonts w:asciiTheme="minorHAnsi" w:hAnsiTheme="minorHAnsi" w:cstheme="minorHAnsi"/>
          <w:b/>
          <w:bCs/>
          <w:sz w:val="22"/>
          <w:szCs w:val="22"/>
        </w:rPr>
        <w:t>Physical and Sexual Assault</w:t>
      </w:r>
    </w:p>
    <w:p w14:paraId="57FB3E56" w14:textId="77777777" w:rsidR="00C3686E" w:rsidRPr="00C3686E" w:rsidRDefault="00C3686E" w:rsidP="00C3686E">
      <w:pPr>
        <w:spacing w:line="312" w:lineRule="auto"/>
        <w:jc w:val="both"/>
        <w:rPr>
          <w:rFonts w:asciiTheme="minorHAnsi" w:hAnsiTheme="minorHAnsi" w:cstheme="minorHAnsi"/>
          <w:i/>
          <w:iCs/>
          <w:sz w:val="22"/>
          <w:szCs w:val="22"/>
        </w:rPr>
      </w:pPr>
      <w:r w:rsidRPr="00C3686E">
        <w:rPr>
          <w:rFonts w:asciiTheme="minorHAnsi" w:hAnsiTheme="minorHAnsi" w:cstheme="minorHAnsi"/>
          <w:i/>
          <w:iCs/>
          <w:sz w:val="22"/>
          <w:szCs w:val="22"/>
        </w:rPr>
        <w:lastRenderedPageBreak/>
        <w:t>Since age 15</w:t>
      </w:r>
    </w:p>
    <w:p w14:paraId="5C93409B" w14:textId="77777777" w:rsidR="00C3686E" w:rsidRPr="00C3686E" w:rsidRDefault="00C3686E" w:rsidP="00C3686E">
      <w:pPr>
        <w:spacing w:line="312" w:lineRule="auto"/>
        <w:jc w:val="both"/>
        <w:rPr>
          <w:rFonts w:asciiTheme="minorHAnsi" w:hAnsiTheme="minorHAnsi" w:cstheme="minorHAnsi"/>
          <w:sz w:val="22"/>
          <w:szCs w:val="22"/>
        </w:rPr>
      </w:pPr>
      <w:r w:rsidRPr="00C3686E">
        <w:rPr>
          <w:rFonts w:asciiTheme="minorHAnsi" w:hAnsiTheme="minorHAnsi" w:cstheme="minorHAnsi"/>
          <w:sz w:val="22"/>
          <w:szCs w:val="22"/>
        </w:rPr>
        <w:t>19.9% of adult women had been sexually assaulted since age 15 (compared with 5.1% of men), with 19.8% of women sexually assaulted by a male and 0.6% by a female.</w:t>
      </w:r>
    </w:p>
    <w:p w14:paraId="18227292" w14:textId="77777777" w:rsidR="00C3686E" w:rsidRPr="00C3686E" w:rsidRDefault="00C3686E" w:rsidP="00C3686E">
      <w:pPr>
        <w:spacing w:line="312" w:lineRule="auto"/>
        <w:jc w:val="both"/>
        <w:rPr>
          <w:rFonts w:asciiTheme="minorHAnsi" w:hAnsiTheme="minorHAnsi" w:cstheme="minorHAnsi"/>
          <w:sz w:val="22"/>
          <w:szCs w:val="22"/>
        </w:rPr>
      </w:pPr>
      <w:r w:rsidRPr="00C3686E">
        <w:rPr>
          <w:rFonts w:asciiTheme="minorHAnsi" w:hAnsiTheme="minorHAnsi" w:cstheme="minorHAnsi"/>
          <w:noProof/>
          <w:sz w:val="22"/>
          <w:szCs w:val="22"/>
        </w:rPr>
        <w:drawing>
          <wp:anchor distT="0" distB="0" distL="114300" distR="114300" simplePos="0" relativeHeight="251699200" behindDoc="0" locked="0" layoutInCell="1" allowOverlap="1" wp14:anchorId="7C5798B3" wp14:editId="7741E9A2">
            <wp:simplePos x="0" y="0"/>
            <wp:positionH relativeFrom="margin">
              <wp:align>left</wp:align>
            </wp:positionH>
            <wp:positionV relativeFrom="paragraph">
              <wp:posOffset>0</wp:posOffset>
            </wp:positionV>
            <wp:extent cx="3550285" cy="2260600"/>
            <wp:effectExtent l="0" t="0" r="0" b="635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50285" cy="2260600"/>
                    </a:xfrm>
                    <a:prstGeom prst="rect">
                      <a:avLst/>
                    </a:prstGeom>
                    <a:noFill/>
                  </pic:spPr>
                </pic:pic>
              </a:graphicData>
            </a:graphic>
            <wp14:sizeRelH relativeFrom="page">
              <wp14:pctWidth>0</wp14:pctWidth>
            </wp14:sizeRelH>
            <wp14:sizeRelV relativeFrom="page">
              <wp14:pctHeight>0</wp14:pctHeight>
            </wp14:sizeRelV>
          </wp:anchor>
        </w:drawing>
      </w:r>
      <w:r w:rsidRPr="00C3686E">
        <w:rPr>
          <w:rFonts w:asciiTheme="minorHAnsi" w:hAnsiTheme="minorHAnsi" w:cstheme="minorHAnsi"/>
          <w:sz w:val="22"/>
          <w:szCs w:val="22"/>
        </w:rPr>
        <w:t xml:space="preserve">Thirty-four per cent of men and 27% of women had been </w:t>
      </w:r>
      <w:r w:rsidRPr="00C3686E">
        <w:rPr>
          <w:rFonts w:asciiTheme="minorHAnsi" w:hAnsiTheme="minorHAnsi" w:cstheme="minorHAnsi"/>
          <w:i/>
          <w:iCs/>
          <w:sz w:val="22"/>
          <w:szCs w:val="22"/>
        </w:rPr>
        <w:t>physically assaulted</w:t>
      </w:r>
      <w:r w:rsidRPr="00C3686E">
        <w:rPr>
          <w:rFonts w:asciiTheme="minorHAnsi" w:hAnsiTheme="minorHAnsi" w:cstheme="minorHAnsi"/>
          <w:sz w:val="22"/>
          <w:szCs w:val="22"/>
        </w:rPr>
        <w:t xml:space="preserve"> since age 15 - 24.4% by males and 7.1% by females.</w:t>
      </w:r>
    </w:p>
    <w:p w14:paraId="7C9212F8" w14:textId="77777777" w:rsidR="00C3686E" w:rsidRPr="00C3686E" w:rsidRDefault="00C3686E" w:rsidP="00C3686E">
      <w:pPr>
        <w:spacing w:line="312" w:lineRule="auto"/>
        <w:jc w:val="both"/>
        <w:rPr>
          <w:rFonts w:asciiTheme="minorHAnsi" w:hAnsiTheme="minorHAnsi" w:cstheme="minorHAnsi"/>
          <w:color w:val="7F7F7F" w:themeColor="text1" w:themeTint="80"/>
          <w:sz w:val="22"/>
          <w:szCs w:val="22"/>
        </w:rPr>
      </w:pPr>
    </w:p>
    <w:p w14:paraId="0AEE9C53" w14:textId="77777777" w:rsidR="00C3686E" w:rsidRPr="00C3686E" w:rsidRDefault="00C3686E" w:rsidP="00C3686E">
      <w:pPr>
        <w:jc w:val="both"/>
        <w:rPr>
          <w:rFonts w:asciiTheme="minorHAnsi" w:hAnsiTheme="minorHAnsi" w:cstheme="minorHAnsi"/>
          <w:color w:val="7F7F7F" w:themeColor="text1" w:themeTint="80"/>
          <w:sz w:val="20"/>
          <w:szCs w:val="20"/>
        </w:rPr>
      </w:pPr>
      <w:r w:rsidRPr="00C3686E">
        <w:rPr>
          <w:rFonts w:asciiTheme="minorHAnsi" w:hAnsiTheme="minorHAnsi" w:cstheme="minorHAnsi"/>
          <w:color w:val="7F7F7F" w:themeColor="text1" w:themeTint="80"/>
          <w:sz w:val="20"/>
          <w:szCs w:val="20"/>
        </w:rPr>
        <w:t xml:space="preserve">Per cent of persons who had experienced violence </w:t>
      </w:r>
      <w:r w:rsidRPr="00C3686E">
        <w:rPr>
          <w:rFonts w:asciiTheme="minorHAnsi" w:hAnsiTheme="minorHAnsi" w:cstheme="minorHAnsi"/>
          <w:b/>
          <w:bCs/>
          <w:color w:val="7F7F7F" w:themeColor="text1" w:themeTint="80"/>
          <w:sz w:val="20"/>
          <w:szCs w:val="20"/>
        </w:rPr>
        <w:t>since age 15</w:t>
      </w:r>
      <w:r w:rsidRPr="00C3686E">
        <w:rPr>
          <w:rFonts w:asciiTheme="minorHAnsi" w:hAnsiTheme="minorHAnsi" w:cstheme="minorHAnsi"/>
          <w:color w:val="7F7F7F" w:themeColor="text1" w:themeTint="80"/>
          <w:sz w:val="20"/>
          <w:szCs w:val="20"/>
        </w:rPr>
        <w:t>, by sex and type of violence: Aus., 2021/22</w:t>
      </w:r>
    </w:p>
    <w:p w14:paraId="7EEFC2BD" w14:textId="77777777" w:rsidR="00C3686E" w:rsidRPr="00C3686E" w:rsidRDefault="00C3686E" w:rsidP="00C3686E">
      <w:pPr>
        <w:spacing w:line="312" w:lineRule="auto"/>
        <w:jc w:val="both"/>
        <w:rPr>
          <w:rFonts w:asciiTheme="minorHAnsi" w:hAnsiTheme="minorHAnsi" w:cstheme="minorHAnsi"/>
          <w:sz w:val="22"/>
          <w:szCs w:val="22"/>
        </w:rPr>
      </w:pPr>
    </w:p>
    <w:p w14:paraId="4F0EBB67" w14:textId="77777777" w:rsidR="00C3686E" w:rsidRPr="00C3686E" w:rsidRDefault="00C3686E" w:rsidP="00C3686E">
      <w:pPr>
        <w:spacing w:line="312" w:lineRule="auto"/>
        <w:jc w:val="both"/>
        <w:rPr>
          <w:rFonts w:asciiTheme="minorHAnsi" w:hAnsiTheme="minorHAnsi" w:cstheme="minorHAnsi"/>
          <w:sz w:val="22"/>
          <w:szCs w:val="22"/>
        </w:rPr>
      </w:pPr>
    </w:p>
    <w:p w14:paraId="03384A3E" w14:textId="77777777" w:rsidR="00C3686E" w:rsidRPr="00C3686E" w:rsidRDefault="00C3686E" w:rsidP="00C3686E">
      <w:pPr>
        <w:spacing w:line="312" w:lineRule="auto"/>
        <w:jc w:val="both"/>
        <w:rPr>
          <w:rFonts w:asciiTheme="minorHAnsi" w:hAnsiTheme="minorHAnsi" w:cstheme="minorHAnsi"/>
          <w:sz w:val="22"/>
          <w:szCs w:val="22"/>
        </w:rPr>
      </w:pPr>
    </w:p>
    <w:p w14:paraId="2184EE9D" w14:textId="77777777" w:rsidR="00C3686E" w:rsidRPr="00C3686E" w:rsidRDefault="00C3686E" w:rsidP="00C3686E">
      <w:pPr>
        <w:spacing w:line="312" w:lineRule="auto"/>
        <w:jc w:val="both"/>
        <w:rPr>
          <w:rFonts w:asciiTheme="minorHAnsi" w:hAnsiTheme="minorHAnsi" w:cstheme="minorHAnsi"/>
          <w:sz w:val="22"/>
          <w:szCs w:val="22"/>
        </w:rPr>
      </w:pPr>
    </w:p>
    <w:p w14:paraId="602B2C8E" w14:textId="77777777" w:rsidR="00C3686E" w:rsidRPr="00C3686E" w:rsidRDefault="00C3686E" w:rsidP="00C3686E">
      <w:pPr>
        <w:spacing w:line="312" w:lineRule="auto"/>
        <w:jc w:val="both"/>
        <w:rPr>
          <w:rFonts w:asciiTheme="minorHAnsi" w:hAnsiTheme="minorHAnsi" w:cstheme="minorHAnsi"/>
          <w:i/>
          <w:iCs/>
          <w:sz w:val="22"/>
          <w:szCs w:val="22"/>
        </w:rPr>
      </w:pPr>
      <w:r w:rsidRPr="00C3686E">
        <w:rPr>
          <w:rFonts w:asciiTheme="minorHAnsi" w:hAnsiTheme="minorHAnsi" w:cstheme="minorHAnsi"/>
          <w:i/>
          <w:iCs/>
          <w:noProof/>
          <w:sz w:val="22"/>
          <w:szCs w:val="22"/>
        </w:rPr>
        <w:drawing>
          <wp:anchor distT="0" distB="0" distL="114300" distR="114300" simplePos="0" relativeHeight="251688960" behindDoc="0" locked="0" layoutInCell="1" allowOverlap="1" wp14:anchorId="15E927AA" wp14:editId="78AD04FB">
            <wp:simplePos x="0" y="0"/>
            <wp:positionH relativeFrom="margin">
              <wp:posOffset>2505710</wp:posOffset>
            </wp:positionH>
            <wp:positionV relativeFrom="paragraph">
              <wp:posOffset>3175</wp:posOffset>
            </wp:positionV>
            <wp:extent cx="3611880" cy="2419350"/>
            <wp:effectExtent l="0" t="0" r="7620" b="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11880" cy="2419350"/>
                    </a:xfrm>
                    <a:prstGeom prst="rect">
                      <a:avLst/>
                    </a:prstGeom>
                    <a:noFill/>
                  </pic:spPr>
                </pic:pic>
              </a:graphicData>
            </a:graphic>
            <wp14:sizeRelH relativeFrom="page">
              <wp14:pctWidth>0</wp14:pctWidth>
            </wp14:sizeRelH>
            <wp14:sizeRelV relativeFrom="page">
              <wp14:pctHeight>0</wp14:pctHeight>
            </wp14:sizeRelV>
          </wp:anchor>
        </w:drawing>
      </w:r>
      <w:r w:rsidRPr="00C3686E">
        <w:rPr>
          <w:rFonts w:asciiTheme="minorHAnsi" w:hAnsiTheme="minorHAnsi" w:cstheme="minorHAnsi"/>
          <w:i/>
          <w:iCs/>
          <w:sz w:val="22"/>
          <w:szCs w:val="22"/>
        </w:rPr>
        <w:t>In past 12 months</w:t>
      </w:r>
    </w:p>
    <w:p w14:paraId="73592B6F" w14:textId="77777777" w:rsidR="00C3686E" w:rsidRPr="00C3686E" w:rsidRDefault="00C3686E" w:rsidP="00C3686E">
      <w:pPr>
        <w:spacing w:line="312" w:lineRule="auto"/>
        <w:jc w:val="both"/>
        <w:rPr>
          <w:rFonts w:asciiTheme="minorHAnsi" w:hAnsiTheme="minorHAnsi" w:cstheme="minorHAnsi"/>
          <w:sz w:val="22"/>
          <w:szCs w:val="22"/>
        </w:rPr>
      </w:pPr>
      <w:r w:rsidRPr="00C3686E">
        <w:rPr>
          <w:rFonts w:asciiTheme="minorHAnsi" w:hAnsiTheme="minorHAnsi" w:cstheme="minorHAnsi"/>
          <w:sz w:val="22"/>
          <w:szCs w:val="22"/>
        </w:rPr>
        <w:t>In the previous 12 months, 1.5% of women had been sexually assaulted (compared with 0.5% of men) and 1.9% physically assaulted.</w:t>
      </w:r>
    </w:p>
    <w:p w14:paraId="3EE43816" w14:textId="77777777" w:rsidR="00C3686E" w:rsidRPr="00C3686E" w:rsidRDefault="00C3686E" w:rsidP="00C3686E">
      <w:pPr>
        <w:spacing w:line="312" w:lineRule="auto"/>
        <w:jc w:val="both"/>
        <w:rPr>
          <w:rFonts w:asciiTheme="minorHAnsi" w:hAnsiTheme="minorHAnsi" w:cstheme="minorHAnsi"/>
          <w:color w:val="7F7F7F" w:themeColor="text1" w:themeTint="80"/>
          <w:sz w:val="22"/>
          <w:szCs w:val="22"/>
        </w:rPr>
      </w:pPr>
    </w:p>
    <w:p w14:paraId="54487A15" w14:textId="77777777" w:rsidR="00C3686E" w:rsidRPr="00C3686E" w:rsidRDefault="00C3686E" w:rsidP="00C3686E">
      <w:pPr>
        <w:jc w:val="both"/>
        <w:rPr>
          <w:rFonts w:asciiTheme="minorHAnsi" w:hAnsiTheme="minorHAnsi" w:cstheme="minorHAnsi"/>
          <w:color w:val="7F7F7F" w:themeColor="text1" w:themeTint="80"/>
          <w:sz w:val="20"/>
          <w:szCs w:val="20"/>
        </w:rPr>
      </w:pPr>
      <w:r w:rsidRPr="00C3686E">
        <w:rPr>
          <w:rFonts w:asciiTheme="minorHAnsi" w:hAnsiTheme="minorHAnsi" w:cstheme="minorHAnsi"/>
          <w:color w:val="7F7F7F" w:themeColor="text1" w:themeTint="80"/>
          <w:sz w:val="20"/>
          <w:szCs w:val="20"/>
        </w:rPr>
        <w:t xml:space="preserve">Per cent of persons who had experienced violence </w:t>
      </w:r>
      <w:r w:rsidRPr="00C3686E">
        <w:rPr>
          <w:rFonts w:asciiTheme="minorHAnsi" w:hAnsiTheme="minorHAnsi" w:cstheme="minorHAnsi"/>
          <w:b/>
          <w:bCs/>
          <w:color w:val="7F7F7F" w:themeColor="text1" w:themeTint="80"/>
          <w:sz w:val="20"/>
          <w:szCs w:val="20"/>
        </w:rPr>
        <w:t>in the previous 12 months</w:t>
      </w:r>
      <w:r w:rsidRPr="00C3686E">
        <w:rPr>
          <w:rFonts w:asciiTheme="minorHAnsi" w:hAnsiTheme="minorHAnsi" w:cstheme="minorHAnsi"/>
          <w:color w:val="7F7F7F" w:themeColor="text1" w:themeTint="80"/>
          <w:sz w:val="20"/>
          <w:szCs w:val="20"/>
        </w:rPr>
        <w:t>, by sex and type of violence: Aus., 2021/22</w:t>
      </w:r>
    </w:p>
    <w:p w14:paraId="7B806C84" w14:textId="77777777" w:rsidR="00C3686E" w:rsidRPr="00C3686E" w:rsidRDefault="00C3686E" w:rsidP="00C3686E">
      <w:pPr>
        <w:spacing w:line="312" w:lineRule="auto"/>
        <w:jc w:val="both"/>
        <w:rPr>
          <w:rFonts w:asciiTheme="minorHAnsi" w:hAnsiTheme="minorHAnsi" w:cstheme="minorHAnsi"/>
          <w:sz w:val="22"/>
          <w:szCs w:val="22"/>
        </w:rPr>
      </w:pPr>
    </w:p>
    <w:p w14:paraId="1C6521B1" w14:textId="77777777" w:rsidR="009131C5" w:rsidRPr="009131C5" w:rsidRDefault="009131C5" w:rsidP="00C3686E">
      <w:pPr>
        <w:spacing w:line="312" w:lineRule="auto"/>
        <w:jc w:val="both"/>
        <w:rPr>
          <w:rFonts w:asciiTheme="minorHAnsi" w:hAnsiTheme="minorHAnsi" w:cstheme="minorHAnsi"/>
          <w:sz w:val="32"/>
          <w:szCs w:val="32"/>
        </w:rPr>
      </w:pPr>
    </w:p>
    <w:p w14:paraId="2B8D6EB3" w14:textId="77777777" w:rsidR="00C3686E" w:rsidRPr="00C3686E" w:rsidRDefault="00C3686E" w:rsidP="00C3686E">
      <w:pPr>
        <w:spacing w:line="312" w:lineRule="auto"/>
        <w:jc w:val="both"/>
        <w:rPr>
          <w:rFonts w:asciiTheme="minorHAnsi" w:hAnsiTheme="minorHAnsi" w:cstheme="minorHAnsi"/>
          <w:b/>
          <w:bCs/>
          <w:sz w:val="22"/>
          <w:szCs w:val="22"/>
        </w:rPr>
      </w:pPr>
      <w:r w:rsidRPr="00C3686E">
        <w:rPr>
          <w:rFonts w:asciiTheme="minorHAnsi" w:hAnsiTheme="minorHAnsi" w:cstheme="minorHAnsi"/>
          <w:b/>
          <w:bCs/>
          <w:sz w:val="22"/>
          <w:szCs w:val="22"/>
        </w:rPr>
        <w:t>Intimate Partner Violence</w:t>
      </w:r>
    </w:p>
    <w:p w14:paraId="6BDC8C03" w14:textId="77777777" w:rsidR="00C3686E" w:rsidRPr="00C3686E" w:rsidRDefault="00C3686E" w:rsidP="00C3686E">
      <w:pPr>
        <w:spacing w:line="312" w:lineRule="auto"/>
        <w:jc w:val="both"/>
        <w:rPr>
          <w:rFonts w:asciiTheme="minorHAnsi" w:hAnsiTheme="minorHAnsi" w:cstheme="minorHAnsi"/>
          <w:sz w:val="22"/>
          <w:szCs w:val="22"/>
        </w:rPr>
      </w:pPr>
      <w:r w:rsidRPr="00C3686E">
        <w:rPr>
          <w:rFonts w:asciiTheme="minorHAnsi" w:hAnsiTheme="minorHAnsi" w:cstheme="minorHAnsi"/>
          <w:sz w:val="22"/>
          <w:szCs w:val="22"/>
        </w:rPr>
        <w:t>Intimate partner violence had been experienced since age 15 by 23.3% of women and 7.3% of men.</w:t>
      </w:r>
    </w:p>
    <w:p w14:paraId="620C2A99" w14:textId="189BFDB6" w:rsidR="00C3686E" w:rsidRPr="00C3686E" w:rsidRDefault="00C3686E" w:rsidP="00C3686E">
      <w:pPr>
        <w:spacing w:line="312" w:lineRule="auto"/>
        <w:jc w:val="both"/>
        <w:rPr>
          <w:rFonts w:asciiTheme="minorHAnsi" w:hAnsiTheme="minorHAnsi" w:cstheme="minorHAnsi"/>
          <w:sz w:val="22"/>
          <w:szCs w:val="22"/>
        </w:rPr>
      </w:pPr>
      <w:r w:rsidRPr="00C3686E">
        <w:rPr>
          <w:rFonts w:asciiTheme="minorHAnsi" w:hAnsiTheme="minorHAnsi" w:cstheme="minorHAnsi"/>
          <w:noProof/>
          <w:sz w:val="22"/>
          <w:szCs w:val="22"/>
        </w:rPr>
        <w:drawing>
          <wp:anchor distT="0" distB="0" distL="114300" distR="114300" simplePos="0" relativeHeight="251689984" behindDoc="0" locked="0" layoutInCell="1" allowOverlap="1" wp14:anchorId="15BE3675" wp14:editId="3D3BE48C">
            <wp:simplePos x="0" y="0"/>
            <wp:positionH relativeFrom="margin">
              <wp:align>left</wp:align>
            </wp:positionH>
            <wp:positionV relativeFrom="paragraph">
              <wp:posOffset>40640</wp:posOffset>
            </wp:positionV>
            <wp:extent cx="3688715" cy="2317750"/>
            <wp:effectExtent l="0" t="0" r="6985" b="6350"/>
            <wp:wrapSquare wrapText="bothSides"/>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88715" cy="2317750"/>
                    </a:xfrm>
                    <a:prstGeom prst="rect">
                      <a:avLst/>
                    </a:prstGeom>
                    <a:noFill/>
                  </pic:spPr>
                </pic:pic>
              </a:graphicData>
            </a:graphic>
            <wp14:sizeRelH relativeFrom="page">
              <wp14:pctWidth>0</wp14:pctWidth>
            </wp14:sizeRelH>
            <wp14:sizeRelV relativeFrom="page">
              <wp14:pctHeight>0</wp14:pctHeight>
            </wp14:sizeRelV>
          </wp:anchor>
        </w:drawing>
      </w:r>
    </w:p>
    <w:p w14:paraId="07CB2BF7" w14:textId="77777777" w:rsidR="00C3686E" w:rsidRPr="00C3686E" w:rsidRDefault="00C3686E" w:rsidP="00C3686E">
      <w:pPr>
        <w:jc w:val="both"/>
        <w:rPr>
          <w:rFonts w:asciiTheme="minorHAnsi" w:hAnsiTheme="minorHAnsi" w:cstheme="minorHAnsi"/>
          <w:color w:val="7F7F7F" w:themeColor="text1" w:themeTint="80"/>
          <w:sz w:val="20"/>
          <w:szCs w:val="20"/>
        </w:rPr>
      </w:pPr>
      <w:r w:rsidRPr="00C3686E">
        <w:rPr>
          <w:rFonts w:asciiTheme="minorHAnsi" w:hAnsiTheme="minorHAnsi" w:cstheme="minorHAnsi"/>
          <w:color w:val="7F7F7F" w:themeColor="text1" w:themeTint="80"/>
          <w:sz w:val="20"/>
          <w:szCs w:val="20"/>
        </w:rPr>
        <w:t xml:space="preserve">Per cent of persons who had experienced intimate partner violence, by sex and </w:t>
      </w:r>
      <w:proofErr w:type="gramStart"/>
      <w:r w:rsidRPr="00C3686E">
        <w:rPr>
          <w:rFonts w:asciiTheme="minorHAnsi" w:hAnsiTheme="minorHAnsi" w:cstheme="minorHAnsi"/>
          <w:color w:val="7F7F7F" w:themeColor="text1" w:themeTint="80"/>
          <w:sz w:val="20"/>
          <w:szCs w:val="20"/>
        </w:rPr>
        <w:t>time-span</w:t>
      </w:r>
      <w:proofErr w:type="gramEnd"/>
      <w:r w:rsidRPr="00C3686E">
        <w:rPr>
          <w:rFonts w:asciiTheme="minorHAnsi" w:hAnsiTheme="minorHAnsi" w:cstheme="minorHAnsi"/>
          <w:color w:val="7F7F7F" w:themeColor="text1" w:themeTint="80"/>
          <w:sz w:val="20"/>
          <w:szCs w:val="20"/>
        </w:rPr>
        <w:t>: Aus., 2021/22</w:t>
      </w:r>
    </w:p>
    <w:p w14:paraId="260FDC55" w14:textId="77777777" w:rsidR="00C3686E" w:rsidRPr="009131C5" w:rsidRDefault="00C3686E" w:rsidP="00C3686E">
      <w:pPr>
        <w:spacing w:line="312" w:lineRule="auto"/>
        <w:jc w:val="both"/>
        <w:rPr>
          <w:rFonts w:asciiTheme="minorHAnsi" w:hAnsiTheme="minorHAnsi" w:cstheme="minorHAnsi"/>
          <w:sz w:val="10"/>
          <w:szCs w:val="10"/>
        </w:rPr>
      </w:pPr>
    </w:p>
    <w:p w14:paraId="12945E45" w14:textId="77777777" w:rsidR="00C3686E" w:rsidRPr="00C3686E" w:rsidRDefault="00C3686E" w:rsidP="00C3686E">
      <w:pPr>
        <w:spacing w:line="312" w:lineRule="auto"/>
        <w:jc w:val="both"/>
        <w:rPr>
          <w:rFonts w:asciiTheme="minorHAnsi" w:hAnsiTheme="minorHAnsi" w:cstheme="minorHAnsi"/>
          <w:sz w:val="22"/>
          <w:szCs w:val="22"/>
        </w:rPr>
      </w:pPr>
      <w:r w:rsidRPr="00C3686E">
        <w:rPr>
          <w:rFonts w:asciiTheme="minorHAnsi" w:hAnsiTheme="minorHAnsi" w:cstheme="minorHAnsi"/>
          <w:sz w:val="22"/>
          <w:szCs w:val="22"/>
        </w:rPr>
        <w:t>During the previous 12 months, 1.5% of women and 0.6% of men had experienced intimate partner violence.</w:t>
      </w:r>
    </w:p>
    <w:p w14:paraId="1C33FA0B" w14:textId="77777777" w:rsidR="009131C5" w:rsidRPr="009131C5" w:rsidRDefault="009131C5" w:rsidP="009131C5">
      <w:pPr>
        <w:spacing w:line="312" w:lineRule="auto"/>
        <w:jc w:val="both"/>
        <w:rPr>
          <w:rFonts w:asciiTheme="minorHAnsi" w:hAnsiTheme="minorHAnsi" w:cstheme="minorHAnsi"/>
          <w:sz w:val="10"/>
          <w:szCs w:val="10"/>
        </w:rPr>
      </w:pPr>
    </w:p>
    <w:p w14:paraId="69059B27" w14:textId="1822C026" w:rsidR="009131C5" w:rsidRPr="009131C5" w:rsidRDefault="009131C5" w:rsidP="009131C5">
      <w:pPr>
        <w:jc w:val="both"/>
        <w:rPr>
          <w:rFonts w:asciiTheme="minorHAnsi" w:hAnsiTheme="minorHAnsi" w:cstheme="minorHAnsi"/>
          <w:i/>
          <w:iCs/>
          <w:sz w:val="22"/>
          <w:szCs w:val="22"/>
        </w:rPr>
      </w:pPr>
      <w:proofErr w:type="spellStart"/>
      <w:r w:rsidRPr="009131C5">
        <w:rPr>
          <w:rFonts w:asciiTheme="minorHAnsi" w:hAnsiTheme="minorHAnsi" w:cstheme="minorHAnsi"/>
          <w:i/>
          <w:iCs/>
          <w:sz w:val="22"/>
          <w:szCs w:val="22"/>
        </w:rPr>
        <w:t>Homocides</w:t>
      </w:r>
      <w:proofErr w:type="spellEnd"/>
    </w:p>
    <w:p w14:paraId="7AE3D0A6" w14:textId="77777777" w:rsidR="009131C5" w:rsidRDefault="009131C5" w:rsidP="009131C5">
      <w:pPr>
        <w:spacing w:before="60"/>
        <w:jc w:val="both"/>
      </w:pPr>
      <w:r w:rsidRPr="009131C5">
        <w:rPr>
          <w:rFonts w:asciiTheme="minorHAnsi" w:hAnsiTheme="minorHAnsi" w:cstheme="minorHAnsi"/>
          <w:sz w:val="22"/>
          <w:szCs w:val="22"/>
        </w:rPr>
        <w:t>In 2010-2018, there were 240 female victims of homicide in which a male offender killed a current or former partner, the equivalent of 34 such incidents per year, on average. Women therefore represented 77% of the victims in intimate partner homicides.</w:t>
      </w:r>
      <w:r>
        <w:t xml:space="preserve"> </w:t>
      </w:r>
      <w:r w:rsidRPr="008C2E65">
        <w:rPr>
          <w:sz w:val="16"/>
          <w:szCs w:val="16"/>
        </w:rPr>
        <w:t>(</w:t>
      </w:r>
      <w:r w:rsidRPr="00D549EC">
        <w:rPr>
          <w:sz w:val="16"/>
          <w:szCs w:val="16"/>
        </w:rPr>
        <w:t xml:space="preserve">Australian Domestic and Family Violence Death Review Network, &amp; Australia's National Research </w:t>
      </w:r>
      <w:proofErr w:type="spellStart"/>
      <w:r w:rsidRPr="00D549EC">
        <w:rPr>
          <w:sz w:val="16"/>
          <w:szCs w:val="16"/>
        </w:rPr>
        <w:t>Organisation</w:t>
      </w:r>
      <w:proofErr w:type="spellEnd"/>
      <w:r w:rsidRPr="00D549EC">
        <w:rPr>
          <w:sz w:val="16"/>
          <w:szCs w:val="16"/>
        </w:rPr>
        <w:t xml:space="preserve"> for Women's Safety. (2022). Australian Domestic and Family Violence Death Review Network Data Report: Intimate partner violence homicides 2010–2018 (2nd ed.; Research report 03/2022). ANROWS)</w:t>
      </w:r>
    </w:p>
    <w:p w14:paraId="7A57DF00" w14:textId="77777777" w:rsidR="009131C5" w:rsidRDefault="009131C5" w:rsidP="00C3686E">
      <w:pPr>
        <w:spacing w:line="312" w:lineRule="auto"/>
        <w:jc w:val="both"/>
        <w:rPr>
          <w:rFonts w:asciiTheme="minorHAnsi" w:hAnsiTheme="minorHAnsi" w:cstheme="minorHAnsi"/>
          <w:sz w:val="22"/>
          <w:szCs w:val="22"/>
        </w:rPr>
      </w:pPr>
    </w:p>
    <w:p w14:paraId="2B691F55" w14:textId="77777777" w:rsidR="009131C5" w:rsidRPr="00C3686E" w:rsidRDefault="009131C5" w:rsidP="00C3686E">
      <w:pPr>
        <w:spacing w:line="312" w:lineRule="auto"/>
        <w:jc w:val="both"/>
        <w:rPr>
          <w:rFonts w:asciiTheme="minorHAnsi" w:hAnsiTheme="minorHAnsi" w:cstheme="minorHAnsi"/>
          <w:sz w:val="22"/>
          <w:szCs w:val="22"/>
        </w:rPr>
      </w:pPr>
    </w:p>
    <w:p w14:paraId="210548FB" w14:textId="77777777" w:rsidR="00C3686E" w:rsidRPr="00C3686E" w:rsidRDefault="00C3686E" w:rsidP="00C3686E">
      <w:pPr>
        <w:spacing w:line="312" w:lineRule="auto"/>
        <w:jc w:val="both"/>
        <w:rPr>
          <w:rFonts w:asciiTheme="minorHAnsi" w:hAnsiTheme="minorHAnsi" w:cstheme="minorHAnsi"/>
          <w:b/>
          <w:bCs/>
          <w:sz w:val="22"/>
          <w:szCs w:val="22"/>
        </w:rPr>
      </w:pPr>
      <w:r w:rsidRPr="00C3686E">
        <w:rPr>
          <w:rFonts w:asciiTheme="minorHAnsi" w:hAnsiTheme="minorHAnsi" w:cstheme="minorHAnsi"/>
          <w:b/>
          <w:bCs/>
          <w:sz w:val="22"/>
          <w:szCs w:val="22"/>
        </w:rPr>
        <w:t>Witnessing Violence towards a Mother and/or Father by a Partner, During Childhood</w:t>
      </w:r>
    </w:p>
    <w:p w14:paraId="62CD79DB" w14:textId="77777777" w:rsidR="00C3686E" w:rsidRPr="00C3686E" w:rsidRDefault="00C3686E" w:rsidP="00C3686E">
      <w:pPr>
        <w:spacing w:line="312" w:lineRule="auto"/>
        <w:jc w:val="both"/>
        <w:rPr>
          <w:rFonts w:asciiTheme="minorHAnsi" w:hAnsiTheme="minorHAnsi" w:cstheme="minorHAnsi"/>
          <w:sz w:val="22"/>
          <w:szCs w:val="22"/>
        </w:rPr>
      </w:pPr>
      <w:r w:rsidRPr="00C3686E">
        <w:rPr>
          <w:rFonts w:asciiTheme="minorHAnsi" w:hAnsiTheme="minorHAnsi" w:cstheme="minorHAnsi"/>
          <w:noProof/>
          <w:sz w:val="22"/>
          <w:szCs w:val="22"/>
        </w:rPr>
        <w:drawing>
          <wp:anchor distT="0" distB="0" distL="114300" distR="114300" simplePos="0" relativeHeight="251691008" behindDoc="0" locked="0" layoutInCell="1" allowOverlap="1" wp14:anchorId="3DBB919F" wp14:editId="5FCE5488">
            <wp:simplePos x="0" y="0"/>
            <wp:positionH relativeFrom="column">
              <wp:posOffset>2194560</wp:posOffset>
            </wp:positionH>
            <wp:positionV relativeFrom="paragraph">
              <wp:posOffset>410845</wp:posOffset>
            </wp:positionV>
            <wp:extent cx="3911600" cy="2496904"/>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911600" cy="2496904"/>
                    </a:xfrm>
                    <a:prstGeom prst="rect">
                      <a:avLst/>
                    </a:prstGeom>
                    <a:noFill/>
                  </pic:spPr>
                </pic:pic>
              </a:graphicData>
            </a:graphic>
            <wp14:sizeRelH relativeFrom="page">
              <wp14:pctWidth>0</wp14:pctWidth>
            </wp14:sizeRelH>
            <wp14:sizeRelV relativeFrom="page">
              <wp14:pctHeight>0</wp14:pctHeight>
            </wp14:sizeRelV>
          </wp:anchor>
        </w:drawing>
      </w:r>
      <w:r w:rsidRPr="00C3686E">
        <w:rPr>
          <w:rFonts w:asciiTheme="minorHAnsi" w:hAnsiTheme="minorHAnsi" w:cstheme="minorHAnsi"/>
          <w:sz w:val="22"/>
          <w:szCs w:val="22"/>
        </w:rPr>
        <w:t>Sixteen per cent of women, and 11% of men, had witnessed violence toward their mother or father, by their partner, before the age of 15 years.</w:t>
      </w:r>
    </w:p>
    <w:p w14:paraId="7FC8BAFE" w14:textId="77777777" w:rsidR="00C3686E" w:rsidRPr="00C3686E" w:rsidRDefault="00C3686E" w:rsidP="00C3686E">
      <w:pPr>
        <w:spacing w:line="312" w:lineRule="auto"/>
        <w:jc w:val="both"/>
        <w:rPr>
          <w:rFonts w:asciiTheme="minorHAnsi" w:hAnsiTheme="minorHAnsi" w:cstheme="minorHAnsi"/>
          <w:sz w:val="22"/>
          <w:szCs w:val="22"/>
        </w:rPr>
      </w:pPr>
      <w:r w:rsidRPr="00C3686E">
        <w:rPr>
          <w:rFonts w:asciiTheme="minorHAnsi" w:hAnsiTheme="minorHAnsi" w:cstheme="minorHAnsi"/>
          <w:sz w:val="22"/>
          <w:szCs w:val="22"/>
        </w:rPr>
        <w:t>In most instances, the violence had been directed toward their mother, with women three times as likely to report witnessing violence directed toward their mother as to their father.</w:t>
      </w:r>
    </w:p>
    <w:p w14:paraId="52BAACD1" w14:textId="77777777" w:rsidR="00C3686E" w:rsidRPr="00C3686E" w:rsidRDefault="00C3686E" w:rsidP="00C3686E">
      <w:pPr>
        <w:spacing w:line="312" w:lineRule="auto"/>
        <w:jc w:val="both"/>
        <w:rPr>
          <w:rFonts w:asciiTheme="minorHAnsi" w:hAnsiTheme="minorHAnsi" w:cstheme="minorHAnsi"/>
          <w:color w:val="7F7F7F" w:themeColor="text1" w:themeTint="80"/>
          <w:sz w:val="22"/>
          <w:szCs w:val="22"/>
        </w:rPr>
      </w:pPr>
    </w:p>
    <w:p w14:paraId="5E84A238" w14:textId="77777777" w:rsidR="00C3686E" w:rsidRPr="00C3686E" w:rsidRDefault="00C3686E" w:rsidP="00C3686E">
      <w:pPr>
        <w:jc w:val="both"/>
        <w:rPr>
          <w:rFonts w:asciiTheme="minorHAnsi" w:hAnsiTheme="minorHAnsi" w:cstheme="minorHAnsi"/>
          <w:color w:val="7F7F7F" w:themeColor="text1" w:themeTint="80"/>
          <w:sz w:val="20"/>
          <w:szCs w:val="20"/>
        </w:rPr>
      </w:pPr>
      <w:r w:rsidRPr="00C3686E">
        <w:rPr>
          <w:rFonts w:asciiTheme="minorHAnsi" w:hAnsiTheme="minorHAnsi" w:cstheme="minorHAnsi"/>
          <w:color w:val="7F7F7F" w:themeColor="text1" w:themeTint="80"/>
          <w:sz w:val="20"/>
          <w:szCs w:val="20"/>
        </w:rPr>
        <w:t>Per cent of persons who had witnessed violence toward their mother or father by their partner, before age 15, by sex: Aus., 2021/22</w:t>
      </w:r>
    </w:p>
    <w:p w14:paraId="21502573" w14:textId="77777777" w:rsidR="00C3686E" w:rsidRPr="00C3686E" w:rsidRDefault="00C3686E" w:rsidP="00C3686E">
      <w:pPr>
        <w:spacing w:line="312" w:lineRule="auto"/>
        <w:jc w:val="both"/>
        <w:rPr>
          <w:rFonts w:asciiTheme="minorHAnsi" w:hAnsiTheme="minorHAnsi" w:cstheme="minorHAnsi"/>
          <w:sz w:val="22"/>
          <w:szCs w:val="22"/>
        </w:rPr>
      </w:pPr>
    </w:p>
    <w:p w14:paraId="1AB95DDC" w14:textId="77777777" w:rsidR="00C3686E" w:rsidRPr="00C3686E" w:rsidRDefault="00C3686E" w:rsidP="00C3686E">
      <w:pPr>
        <w:spacing w:line="312" w:lineRule="auto"/>
        <w:jc w:val="both"/>
        <w:rPr>
          <w:rFonts w:asciiTheme="minorHAnsi" w:hAnsiTheme="minorHAnsi" w:cstheme="minorHAnsi"/>
          <w:sz w:val="22"/>
          <w:szCs w:val="22"/>
        </w:rPr>
      </w:pPr>
    </w:p>
    <w:p w14:paraId="5452736C" w14:textId="77777777" w:rsidR="00C3686E" w:rsidRPr="00C3686E" w:rsidRDefault="00C3686E" w:rsidP="00C3686E">
      <w:pPr>
        <w:spacing w:line="312" w:lineRule="auto"/>
        <w:jc w:val="both"/>
        <w:rPr>
          <w:rFonts w:asciiTheme="minorHAnsi" w:hAnsiTheme="minorHAnsi" w:cstheme="minorHAnsi"/>
          <w:b/>
          <w:bCs/>
          <w:sz w:val="22"/>
          <w:szCs w:val="22"/>
        </w:rPr>
      </w:pPr>
      <w:r w:rsidRPr="00C3686E">
        <w:rPr>
          <w:rFonts w:asciiTheme="minorHAnsi" w:hAnsiTheme="minorHAnsi" w:cstheme="minorHAnsi"/>
          <w:b/>
          <w:bCs/>
          <w:sz w:val="22"/>
          <w:szCs w:val="22"/>
        </w:rPr>
        <w:t>Child Abuse</w:t>
      </w:r>
    </w:p>
    <w:p w14:paraId="7A22E068" w14:textId="77777777" w:rsidR="00C3686E" w:rsidRPr="00C3686E" w:rsidRDefault="00C3686E" w:rsidP="00C3686E">
      <w:pPr>
        <w:spacing w:line="312" w:lineRule="auto"/>
        <w:jc w:val="both"/>
        <w:rPr>
          <w:rFonts w:asciiTheme="minorHAnsi" w:hAnsiTheme="minorHAnsi" w:cstheme="minorHAnsi"/>
          <w:sz w:val="22"/>
          <w:szCs w:val="22"/>
        </w:rPr>
      </w:pPr>
      <w:r w:rsidRPr="00C3686E">
        <w:rPr>
          <w:rFonts w:asciiTheme="minorHAnsi" w:hAnsiTheme="minorHAnsi" w:cstheme="minorHAnsi"/>
          <w:noProof/>
          <w:sz w:val="22"/>
          <w:szCs w:val="22"/>
        </w:rPr>
        <w:drawing>
          <wp:anchor distT="0" distB="0" distL="114300" distR="114300" simplePos="0" relativeHeight="251692032" behindDoc="0" locked="0" layoutInCell="1" allowOverlap="1" wp14:anchorId="098DC219" wp14:editId="1E5BE0A6">
            <wp:simplePos x="0" y="0"/>
            <wp:positionH relativeFrom="margin">
              <wp:align>left</wp:align>
            </wp:positionH>
            <wp:positionV relativeFrom="paragraph">
              <wp:posOffset>20955</wp:posOffset>
            </wp:positionV>
            <wp:extent cx="3890010" cy="2559050"/>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890634" cy="2559460"/>
                    </a:xfrm>
                    <a:prstGeom prst="rect">
                      <a:avLst/>
                    </a:prstGeom>
                    <a:noFill/>
                  </pic:spPr>
                </pic:pic>
              </a:graphicData>
            </a:graphic>
            <wp14:sizeRelH relativeFrom="page">
              <wp14:pctWidth>0</wp14:pctWidth>
            </wp14:sizeRelH>
            <wp14:sizeRelV relativeFrom="page">
              <wp14:pctHeight>0</wp14:pctHeight>
            </wp14:sizeRelV>
          </wp:anchor>
        </w:drawing>
      </w:r>
      <w:r w:rsidRPr="00C3686E">
        <w:rPr>
          <w:rFonts w:asciiTheme="minorHAnsi" w:hAnsiTheme="minorHAnsi" w:cstheme="minorHAnsi"/>
          <w:sz w:val="22"/>
          <w:szCs w:val="22"/>
        </w:rPr>
        <w:t xml:space="preserve">Eighteen per cent of women and 10.6% of men had been abused before age 15. </w:t>
      </w:r>
    </w:p>
    <w:p w14:paraId="2707DE62" w14:textId="77777777" w:rsidR="00C3686E" w:rsidRPr="00C3686E" w:rsidRDefault="00C3686E" w:rsidP="00C3686E">
      <w:pPr>
        <w:spacing w:line="312" w:lineRule="auto"/>
        <w:jc w:val="both"/>
        <w:rPr>
          <w:rFonts w:asciiTheme="minorHAnsi" w:hAnsiTheme="minorHAnsi" w:cstheme="minorHAnsi"/>
          <w:sz w:val="22"/>
          <w:szCs w:val="22"/>
        </w:rPr>
      </w:pPr>
      <w:r w:rsidRPr="00C3686E">
        <w:rPr>
          <w:rFonts w:asciiTheme="minorHAnsi" w:hAnsiTheme="minorHAnsi" w:cstheme="minorHAnsi"/>
          <w:sz w:val="22"/>
          <w:szCs w:val="22"/>
        </w:rPr>
        <w:t>Eleven per cent of women had been sexually abused, compared with 3.6% of men, and 10% physically abused, compared with 8.3% of men.</w:t>
      </w:r>
    </w:p>
    <w:p w14:paraId="73EB1EF4" w14:textId="77777777" w:rsidR="00C3686E" w:rsidRPr="00C3686E" w:rsidRDefault="00C3686E" w:rsidP="00C3686E">
      <w:pPr>
        <w:jc w:val="both"/>
        <w:rPr>
          <w:rFonts w:asciiTheme="minorHAnsi" w:hAnsiTheme="minorHAnsi" w:cstheme="minorHAnsi"/>
          <w:color w:val="7F7F7F" w:themeColor="text1" w:themeTint="80"/>
          <w:sz w:val="22"/>
          <w:szCs w:val="22"/>
        </w:rPr>
      </w:pPr>
    </w:p>
    <w:p w14:paraId="1E0F702D" w14:textId="77777777" w:rsidR="00C3686E" w:rsidRPr="00C3686E" w:rsidRDefault="00C3686E" w:rsidP="00C3686E">
      <w:pPr>
        <w:jc w:val="both"/>
        <w:rPr>
          <w:rFonts w:asciiTheme="minorHAnsi" w:hAnsiTheme="minorHAnsi" w:cstheme="minorHAnsi"/>
          <w:color w:val="7F7F7F" w:themeColor="text1" w:themeTint="80"/>
          <w:sz w:val="20"/>
          <w:szCs w:val="20"/>
        </w:rPr>
      </w:pPr>
      <w:r w:rsidRPr="00C3686E">
        <w:rPr>
          <w:rFonts w:asciiTheme="minorHAnsi" w:hAnsiTheme="minorHAnsi" w:cstheme="minorHAnsi"/>
          <w:color w:val="7F7F7F" w:themeColor="text1" w:themeTint="80"/>
          <w:sz w:val="20"/>
          <w:szCs w:val="20"/>
        </w:rPr>
        <w:t>Per cent of persons who had been abused before the age of 15, by sex and type of abuse: Aus., 2021/22</w:t>
      </w:r>
    </w:p>
    <w:p w14:paraId="514F39CD" w14:textId="77777777" w:rsidR="00C3686E" w:rsidRPr="00C3686E" w:rsidRDefault="00C3686E" w:rsidP="00C3686E">
      <w:pPr>
        <w:spacing w:line="312" w:lineRule="auto"/>
        <w:jc w:val="both"/>
        <w:rPr>
          <w:rFonts w:asciiTheme="minorHAnsi" w:hAnsiTheme="minorHAnsi" w:cstheme="minorHAnsi"/>
          <w:sz w:val="22"/>
          <w:szCs w:val="22"/>
        </w:rPr>
      </w:pPr>
    </w:p>
    <w:p w14:paraId="676943F0" w14:textId="77777777" w:rsidR="00C3686E" w:rsidRPr="00C3686E" w:rsidRDefault="00C3686E" w:rsidP="00C3686E">
      <w:pPr>
        <w:spacing w:line="312" w:lineRule="auto"/>
        <w:jc w:val="both"/>
        <w:rPr>
          <w:rFonts w:asciiTheme="minorHAnsi" w:hAnsiTheme="minorHAnsi" w:cstheme="minorHAnsi"/>
          <w:sz w:val="22"/>
          <w:szCs w:val="22"/>
        </w:rPr>
      </w:pPr>
    </w:p>
    <w:p w14:paraId="4C603F8E" w14:textId="77777777" w:rsidR="00C3686E" w:rsidRPr="00C3686E" w:rsidRDefault="00C3686E" w:rsidP="00C3686E">
      <w:pPr>
        <w:spacing w:line="312" w:lineRule="auto"/>
        <w:jc w:val="both"/>
        <w:rPr>
          <w:rFonts w:asciiTheme="minorHAnsi" w:hAnsiTheme="minorHAnsi" w:cstheme="minorHAnsi"/>
          <w:sz w:val="22"/>
          <w:szCs w:val="22"/>
        </w:rPr>
      </w:pPr>
    </w:p>
    <w:p w14:paraId="2372FD9C" w14:textId="77777777" w:rsidR="00C3686E" w:rsidRPr="00C3686E" w:rsidRDefault="00C3686E" w:rsidP="00C3686E">
      <w:pPr>
        <w:spacing w:line="312" w:lineRule="auto"/>
        <w:jc w:val="both"/>
        <w:rPr>
          <w:rFonts w:asciiTheme="minorHAnsi" w:hAnsiTheme="minorHAnsi" w:cstheme="minorHAnsi"/>
          <w:b/>
          <w:bCs/>
          <w:sz w:val="22"/>
          <w:szCs w:val="22"/>
        </w:rPr>
      </w:pPr>
      <w:r w:rsidRPr="00C3686E">
        <w:rPr>
          <w:rFonts w:asciiTheme="minorHAnsi" w:hAnsiTheme="minorHAnsi" w:cstheme="minorHAnsi"/>
          <w:b/>
          <w:bCs/>
          <w:sz w:val="22"/>
          <w:szCs w:val="22"/>
        </w:rPr>
        <w:t>Stalking</w:t>
      </w:r>
    </w:p>
    <w:p w14:paraId="0D78070B" w14:textId="77777777" w:rsidR="00C3686E" w:rsidRPr="00C3686E" w:rsidRDefault="00C3686E" w:rsidP="00C3686E">
      <w:pPr>
        <w:spacing w:line="312" w:lineRule="auto"/>
        <w:jc w:val="both"/>
        <w:rPr>
          <w:rFonts w:asciiTheme="minorHAnsi" w:hAnsiTheme="minorHAnsi" w:cstheme="minorHAnsi"/>
          <w:sz w:val="22"/>
          <w:szCs w:val="22"/>
        </w:rPr>
      </w:pPr>
      <w:r w:rsidRPr="00C3686E">
        <w:rPr>
          <w:rFonts w:asciiTheme="minorHAnsi" w:hAnsiTheme="minorHAnsi" w:cstheme="minorHAnsi"/>
          <w:noProof/>
          <w:sz w:val="22"/>
          <w:szCs w:val="22"/>
        </w:rPr>
        <w:drawing>
          <wp:anchor distT="0" distB="0" distL="114300" distR="114300" simplePos="0" relativeHeight="251693056" behindDoc="0" locked="0" layoutInCell="1" allowOverlap="1" wp14:anchorId="45C5F02F" wp14:editId="559C1789">
            <wp:simplePos x="0" y="0"/>
            <wp:positionH relativeFrom="margin">
              <wp:align>right</wp:align>
            </wp:positionH>
            <wp:positionV relativeFrom="paragraph">
              <wp:posOffset>41910</wp:posOffset>
            </wp:positionV>
            <wp:extent cx="3092450" cy="1949450"/>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15">
                      <a:extLst>
                        <a:ext uri="{28A0092B-C50C-407E-A947-70E740481C1C}">
                          <a14:useLocalDpi xmlns:a14="http://schemas.microsoft.com/office/drawing/2010/main" val="0"/>
                        </a:ext>
                      </a:extLst>
                    </a:blip>
                    <a:srcRect l="-937" t="12387" r="13231" b="-1511"/>
                    <a:stretch/>
                  </pic:blipFill>
                  <pic:spPr bwMode="auto">
                    <a:xfrm>
                      <a:off x="0" y="0"/>
                      <a:ext cx="3092450" cy="19494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3686E">
        <w:rPr>
          <w:rFonts w:asciiTheme="minorHAnsi" w:hAnsiTheme="minorHAnsi" w:cstheme="minorHAnsi"/>
          <w:sz w:val="22"/>
          <w:szCs w:val="22"/>
        </w:rPr>
        <w:t>As with intimate partner violence and sexual assault, women predominated among those who had experienced stalking, with 20.3% of women and 6.8% of men reporting that they had been stalked at some time since the age of 15.</w:t>
      </w:r>
    </w:p>
    <w:p w14:paraId="50B2DB68" w14:textId="77777777" w:rsidR="00C3686E" w:rsidRPr="00C3686E" w:rsidRDefault="00C3686E" w:rsidP="00C3686E">
      <w:pPr>
        <w:spacing w:line="312" w:lineRule="auto"/>
        <w:jc w:val="both"/>
        <w:rPr>
          <w:rFonts w:asciiTheme="minorHAnsi" w:hAnsiTheme="minorHAnsi" w:cstheme="minorHAnsi"/>
          <w:sz w:val="22"/>
          <w:szCs w:val="22"/>
        </w:rPr>
      </w:pPr>
    </w:p>
    <w:p w14:paraId="7897F746" w14:textId="77777777" w:rsidR="00C3686E" w:rsidRPr="00C3686E" w:rsidRDefault="00C3686E" w:rsidP="00C3686E">
      <w:pPr>
        <w:jc w:val="both"/>
        <w:rPr>
          <w:rFonts w:asciiTheme="minorHAnsi" w:hAnsiTheme="minorHAnsi" w:cstheme="minorHAnsi"/>
          <w:color w:val="7F7F7F" w:themeColor="text1" w:themeTint="80"/>
          <w:sz w:val="20"/>
          <w:szCs w:val="20"/>
        </w:rPr>
      </w:pPr>
      <w:r w:rsidRPr="00C3686E">
        <w:rPr>
          <w:rFonts w:asciiTheme="minorHAnsi" w:hAnsiTheme="minorHAnsi" w:cstheme="minorHAnsi"/>
          <w:color w:val="7F7F7F" w:themeColor="text1" w:themeTint="80"/>
          <w:sz w:val="20"/>
          <w:szCs w:val="20"/>
        </w:rPr>
        <w:t>Per cent of persons who had been stalked since age 15, by sex: Aus., 2021/22</w:t>
      </w:r>
    </w:p>
    <w:p w14:paraId="78F6381B" w14:textId="77777777" w:rsidR="00C3686E" w:rsidRPr="00C3686E" w:rsidRDefault="00C3686E" w:rsidP="00C3686E">
      <w:pPr>
        <w:spacing w:line="312" w:lineRule="auto"/>
        <w:jc w:val="both"/>
        <w:rPr>
          <w:rFonts w:asciiTheme="minorHAnsi" w:hAnsiTheme="minorHAnsi" w:cstheme="minorHAnsi"/>
          <w:sz w:val="22"/>
          <w:szCs w:val="22"/>
        </w:rPr>
      </w:pPr>
    </w:p>
    <w:p w14:paraId="18D3516E" w14:textId="77777777" w:rsidR="00C3686E" w:rsidRPr="00C3686E" w:rsidRDefault="00C3686E" w:rsidP="00C3686E">
      <w:pPr>
        <w:spacing w:line="312" w:lineRule="auto"/>
        <w:jc w:val="both"/>
        <w:rPr>
          <w:rFonts w:asciiTheme="minorHAnsi" w:hAnsiTheme="minorHAnsi" w:cstheme="minorHAnsi"/>
          <w:sz w:val="22"/>
          <w:szCs w:val="22"/>
        </w:rPr>
      </w:pPr>
      <w:r w:rsidRPr="00C3686E">
        <w:rPr>
          <w:rFonts w:asciiTheme="minorHAnsi" w:hAnsiTheme="minorHAnsi" w:cstheme="minorHAnsi"/>
          <w:sz w:val="22"/>
          <w:szCs w:val="22"/>
        </w:rPr>
        <w:t>Women were six times more likely to have been stalked recently, with 3.4% of women and 0.6% of men recalling such incidents in the previous 12 months.</w:t>
      </w:r>
    </w:p>
    <w:p w14:paraId="7DE7B8E8" w14:textId="77777777" w:rsidR="00C3686E" w:rsidRPr="00C3686E" w:rsidRDefault="00C3686E" w:rsidP="00C3686E">
      <w:pPr>
        <w:spacing w:line="312" w:lineRule="auto"/>
        <w:jc w:val="both"/>
        <w:rPr>
          <w:rFonts w:asciiTheme="minorHAnsi" w:hAnsiTheme="minorHAnsi" w:cstheme="minorHAnsi"/>
          <w:sz w:val="22"/>
          <w:szCs w:val="22"/>
        </w:rPr>
      </w:pPr>
    </w:p>
    <w:p w14:paraId="3DAD9537" w14:textId="77777777" w:rsidR="00C3686E" w:rsidRPr="00C3686E" w:rsidRDefault="00C3686E" w:rsidP="00C3686E">
      <w:pPr>
        <w:spacing w:line="312" w:lineRule="auto"/>
        <w:jc w:val="both"/>
        <w:rPr>
          <w:rFonts w:asciiTheme="minorHAnsi" w:hAnsiTheme="minorHAnsi" w:cstheme="minorHAnsi"/>
          <w:b/>
          <w:bCs/>
          <w:sz w:val="22"/>
          <w:szCs w:val="22"/>
        </w:rPr>
      </w:pPr>
      <w:r w:rsidRPr="00C3686E">
        <w:rPr>
          <w:rFonts w:asciiTheme="minorHAnsi" w:hAnsiTheme="minorHAnsi" w:cstheme="minorHAnsi"/>
          <w:b/>
          <w:bCs/>
          <w:noProof/>
          <w:sz w:val="22"/>
          <w:szCs w:val="22"/>
        </w:rPr>
        <w:drawing>
          <wp:anchor distT="0" distB="0" distL="114300" distR="114300" simplePos="0" relativeHeight="251700224" behindDoc="0" locked="0" layoutInCell="1" allowOverlap="1" wp14:anchorId="603FC227" wp14:editId="090834C7">
            <wp:simplePos x="0" y="0"/>
            <wp:positionH relativeFrom="margin">
              <wp:align>left</wp:align>
            </wp:positionH>
            <wp:positionV relativeFrom="paragraph">
              <wp:posOffset>48260</wp:posOffset>
            </wp:positionV>
            <wp:extent cx="3327400" cy="2139950"/>
            <wp:effectExtent l="0" t="0" r="6350" b="0"/>
            <wp:wrapSquare wrapText="bothSides"/>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6">
                      <a:extLst>
                        <a:ext uri="{28A0092B-C50C-407E-A947-70E740481C1C}">
                          <a14:useLocalDpi xmlns:a14="http://schemas.microsoft.com/office/drawing/2010/main" val="0"/>
                        </a:ext>
                      </a:extLst>
                    </a:blip>
                    <a:srcRect t="2633" r="8899"/>
                    <a:stretch/>
                  </pic:blipFill>
                  <pic:spPr bwMode="auto">
                    <a:xfrm>
                      <a:off x="0" y="0"/>
                      <a:ext cx="3327400" cy="21399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3686E">
        <w:rPr>
          <w:rFonts w:asciiTheme="minorHAnsi" w:hAnsiTheme="minorHAnsi" w:cstheme="minorHAnsi"/>
          <w:b/>
          <w:bCs/>
          <w:sz w:val="22"/>
          <w:szCs w:val="22"/>
        </w:rPr>
        <w:t>Sexual Harassment</w:t>
      </w:r>
    </w:p>
    <w:p w14:paraId="47423F6A" w14:textId="77777777" w:rsidR="00C3686E" w:rsidRPr="00C3686E" w:rsidRDefault="00C3686E" w:rsidP="00C3686E">
      <w:pPr>
        <w:spacing w:line="312" w:lineRule="auto"/>
        <w:jc w:val="both"/>
        <w:rPr>
          <w:rFonts w:asciiTheme="minorHAnsi" w:hAnsiTheme="minorHAnsi" w:cstheme="minorHAnsi"/>
          <w:sz w:val="22"/>
          <w:szCs w:val="22"/>
        </w:rPr>
      </w:pPr>
      <w:r w:rsidRPr="00C3686E">
        <w:rPr>
          <w:rFonts w:asciiTheme="minorHAnsi" w:hAnsiTheme="minorHAnsi" w:cstheme="minorHAnsi"/>
          <w:sz w:val="22"/>
          <w:szCs w:val="22"/>
        </w:rPr>
        <w:t xml:space="preserve">During the previous 12 months, 12.6% of women had been sexually harassed - nearly three times the corresponding proportion of males, of 4.5%. </w:t>
      </w:r>
    </w:p>
    <w:p w14:paraId="53879694" w14:textId="77777777" w:rsidR="00C3686E" w:rsidRPr="00C3686E" w:rsidRDefault="00C3686E" w:rsidP="00C3686E">
      <w:pPr>
        <w:spacing w:line="312" w:lineRule="auto"/>
        <w:jc w:val="both"/>
        <w:rPr>
          <w:rFonts w:asciiTheme="minorHAnsi" w:hAnsiTheme="minorHAnsi" w:cstheme="minorHAnsi"/>
          <w:sz w:val="22"/>
          <w:szCs w:val="22"/>
        </w:rPr>
      </w:pPr>
      <w:r w:rsidRPr="00C3686E">
        <w:rPr>
          <w:rFonts w:asciiTheme="minorHAnsi" w:hAnsiTheme="minorHAnsi" w:cstheme="minorHAnsi"/>
          <w:sz w:val="22"/>
          <w:szCs w:val="22"/>
        </w:rPr>
        <w:t>12.2% of women had been harassed by a male and 1.1% by a female.</w:t>
      </w:r>
    </w:p>
    <w:p w14:paraId="13A89A23" w14:textId="77777777" w:rsidR="00C3686E" w:rsidRPr="00C3686E" w:rsidRDefault="00C3686E" w:rsidP="00C3686E">
      <w:pPr>
        <w:spacing w:line="312" w:lineRule="auto"/>
        <w:jc w:val="both"/>
        <w:rPr>
          <w:rFonts w:asciiTheme="minorHAnsi" w:hAnsiTheme="minorHAnsi" w:cstheme="minorHAnsi"/>
          <w:sz w:val="22"/>
          <w:szCs w:val="22"/>
        </w:rPr>
      </w:pPr>
    </w:p>
    <w:p w14:paraId="462DF98C" w14:textId="77777777" w:rsidR="00C3686E" w:rsidRPr="00C3686E" w:rsidRDefault="00C3686E" w:rsidP="00C3686E">
      <w:pPr>
        <w:jc w:val="both"/>
        <w:rPr>
          <w:rFonts w:asciiTheme="minorHAnsi" w:hAnsiTheme="minorHAnsi" w:cstheme="minorHAnsi"/>
          <w:color w:val="7F7F7F" w:themeColor="text1" w:themeTint="80"/>
          <w:sz w:val="20"/>
          <w:szCs w:val="20"/>
        </w:rPr>
      </w:pPr>
      <w:r w:rsidRPr="00C3686E">
        <w:rPr>
          <w:rFonts w:asciiTheme="minorHAnsi" w:hAnsiTheme="minorHAnsi" w:cstheme="minorHAnsi"/>
          <w:color w:val="7F7F7F" w:themeColor="text1" w:themeTint="80"/>
          <w:sz w:val="20"/>
          <w:szCs w:val="20"/>
        </w:rPr>
        <w:t>Per cent of persons who had been sexually harassed during the previous 12 months, by sex: Aus., 2021/22</w:t>
      </w:r>
    </w:p>
    <w:p w14:paraId="6CCB389D" w14:textId="77777777" w:rsidR="00C3686E" w:rsidRPr="00C3686E" w:rsidRDefault="00C3686E" w:rsidP="00C3686E">
      <w:pPr>
        <w:jc w:val="both"/>
        <w:rPr>
          <w:rFonts w:asciiTheme="minorHAnsi" w:hAnsiTheme="minorHAnsi" w:cstheme="minorHAnsi"/>
          <w:color w:val="7F7F7F" w:themeColor="text1" w:themeTint="80"/>
          <w:sz w:val="22"/>
          <w:szCs w:val="22"/>
        </w:rPr>
      </w:pPr>
    </w:p>
    <w:p w14:paraId="4B47C72F" w14:textId="77777777" w:rsidR="00C3686E" w:rsidRPr="00C3686E" w:rsidRDefault="00C3686E" w:rsidP="00C3686E">
      <w:pPr>
        <w:jc w:val="both"/>
        <w:rPr>
          <w:rFonts w:asciiTheme="minorHAnsi" w:hAnsiTheme="minorHAnsi" w:cstheme="minorHAnsi"/>
          <w:color w:val="7F7F7F" w:themeColor="text1" w:themeTint="80"/>
          <w:sz w:val="22"/>
          <w:szCs w:val="22"/>
        </w:rPr>
      </w:pPr>
    </w:p>
    <w:p w14:paraId="1BB1427F" w14:textId="77777777" w:rsidR="00C3686E" w:rsidRPr="00C3686E" w:rsidRDefault="00C3686E" w:rsidP="00C3686E">
      <w:pPr>
        <w:jc w:val="both"/>
        <w:rPr>
          <w:rFonts w:asciiTheme="minorHAnsi" w:hAnsiTheme="minorHAnsi" w:cstheme="minorHAnsi"/>
          <w:color w:val="7F7F7F" w:themeColor="text1" w:themeTint="80"/>
          <w:sz w:val="22"/>
          <w:szCs w:val="22"/>
        </w:rPr>
      </w:pPr>
    </w:p>
    <w:p w14:paraId="7A50D59B" w14:textId="77777777" w:rsidR="00C3686E" w:rsidRPr="00C3686E" w:rsidRDefault="00C3686E" w:rsidP="00C3686E">
      <w:pPr>
        <w:jc w:val="both"/>
        <w:rPr>
          <w:rFonts w:asciiTheme="minorHAnsi" w:hAnsiTheme="minorHAnsi" w:cstheme="minorHAnsi"/>
          <w:color w:val="7F7F7F" w:themeColor="text1" w:themeTint="80"/>
          <w:sz w:val="22"/>
          <w:szCs w:val="22"/>
        </w:rPr>
      </w:pPr>
    </w:p>
    <w:p w14:paraId="0A1F827D" w14:textId="77777777" w:rsidR="00C3686E" w:rsidRPr="00C3686E" w:rsidRDefault="00C3686E" w:rsidP="00C3686E">
      <w:pPr>
        <w:spacing w:line="312" w:lineRule="auto"/>
        <w:jc w:val="both"/>
        <w:rPr>
          <w:rFonts w:asciiTheme="minorHAnsi" w:hAnsiTheme="minorHAnsi" w:cstheme="minorHAnsi"/>
          <w:sz w:val="22"/>
          <w:szCs w:val="22"/>
        </w:rPr>
      </w:pPr>
      <w:r w:rsidRPr="00C3686E">
        <w:rPr>
          <w:rFonts w:asciiTheme="minorHAnsi" w:hAnsiTheme="minorHAnsi" w:cstheme="minorHAnsi"/>
          <w:sz w:val="22"/>
          <w:szCs w:val="22"/>
        </w:rPr>
        <w:t>Among the incidents reported by women were inappropriate comments or written communication, and unwanted physical contact.</w:t>
      </w:r>
    </w:p>
    <w:p w14:paraId="75DDAD87" w14:textId="77777777" w:rsidR="00C3686E" w:rsidRPr="00C3686E" w:rsidRDefault="00C3686E" w:rsidP="00C3686E">
      <w:pPr>
        <w:spacing w:line="312" w:lineRule="auto"/>
        <w:jc w:val="both"/>
        <w:rPr>
          <w:rFonts w:asciiTheme="minorHAnsi" w:hAnsiTheme="minorHAnsi" w:cstheme="minorHAnsi"/>
          <w:sz w:val="22"/>
          <w:szCs w:val="22"/>
        </w:rPr>
      </w:pPr>
      <w:r w:rsidRPr="00C3686E">
        <w:rPr>
          <w:rFonts w:asciiTheme="minorHAnsi" w:hAnsiTheme="minorHAnsi" w:cstheme="minorHAnsi"/>
          <w:noProof/>
          <w:sz w:val="22"/>
          <w:szCs w:val="22"/>
        </w:rPr>
        <w:drawing>
          <wp:anchor distT="0" distB="0" distL="114300" distR="114300" simplePos="0" relativeHeight="251694080" behindDoc="0" locked="0" layoutInCell="1" allowOverlap="1" wp14:anchorId="1ADD6B45" wp14:editId="3B68F9A7">
            <wp:simplePos x="0" y="0"/>
            <wp:positionH relativeFrom="margin">
              <wp:align>right</wp:align>
            </wp:positionH>
            <wp:positionV relativeFrom="paragraph">
              <wp:posOffset>24130</wp:posOffset>
            </wp:positionV>
            <wp:extent cx="4591050" cy="2641600"/>
            <wp:effectExtent l="0" t="0" r="0" b="635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rotWithShape="1">
                    <a:blip r:embed="rId17">
                      <a:extLst>
                        <a:ext uri="{28A0092B-C50C-407E-A947-70E740481C1C}">
                          <a14:useLocalDpi xmlns:a14="http://schemas.microsoft.com/office/drawing/2010/main" val="0"/>
                        </a:ext>
                      </a:extLst>
                    </a:blip>
                    <a:srcRect r="4617"/>
                    <a:stretch/>
                  </pic:blipFill>
                  <pic:spPr bwMode="auto">
                    <a:xfrm>
                      <a:off x="0" y="0"/>
                      <a:ext cx="4591050" cy="26416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457161E" w14:textId="77777777" w:rsidR="00C3686E" w:rsidRPr="00C3686E" w:rsidRDefault="00C3686E" w:rsidP="00C3686E">
      <w:pPr>
        <w:jc w:val="both"/>
        <w:rPr>
          <w:rFonts w:asciiTheme="minorHAnsi" w:hAnsiTheme="minorHAnsi" w:cstheme="minorHAnsi"/>
          <w:color w:val="7F7F7F" w:themeColor="text1" w:themeTint="80"/>
          <w:sz w:val="20"/>
          <w:szCs w:val="20"/>
        </w:rPr>
      </w:pPr>
      <w:r w:rsidRPr="00C3686E">
        <w:rPr>
          <w:rFonts w:asciiTheme="minorHAnsi" w:hAnsiTheme="minorHAnsi" w:cstheme="minorHAnsi"/>
          <w:color w:val="7F7F7F" w:themeColor="text1" w:themeTint="80"/>
          <w:sz w:val="20"/>
          <w:szCs w:val="20"/>
        </w:rPr>
        <w:t>Per cent of women who had been sexually harassed during the previous 12 months, by type of harassment: Aus., 2021/22</w:t>
      </w:r>
    </w:p>
    <w:p w14:paraId="2BF86354" w14:textId="77777777" w:rsidR="00C3686E" w:rsidRPr="00C3686E" w:rsidRDefault="00C3686E" w:rsidP="00C3686E">
      <w:pPr>
        <w:spacing w:line="312" w:lineRule="auto"/>
        <w:jc w:val="both"/>
        <w:rPr>
          <w:rFonts w:asciiTheme="minorHAnsi" w:hAnsiTheme="minorHAnsi" w:cstheme="minorHAnsi"/>
          <w:sz w:val="22"/>
          <w:szCs w:val="22"/>
        </w:rPr>
      </w:pPr>
    </w:p>
    <w:p w14:paraId="73074C9A" w14:textId="77777777" w:rsidR="00C3686E" w:rsidRPr="00C3686E" w:rsidRDefault="00C3686E" w:rsidP="00C3686E">
      <w:pPr>
        <w:spacing w:line="312" w:lineRule="auto"/>
        <w:jc w:val="both"/>
        <w:rPr>
          <w:rFonts w:asciiTheme="minorHAnsi" w:hAnsiTheme="minorHAnsi" w:cstheme="minorHAnsi"/>
          <w:sz w:val="22"/>
          <w:szCs w:val="22"/>
        </w:rPr>
      </w:pPr>
    </w:p>
    <w:p w14:paraId="7A12ADE6" w14:textId="77777777" w:rsidR="00C3686E" w:rsidRPr="00C3686E" w:rsidRDefault="00C3686E" w:rsidP="00C3686E">
      <w:pPr>
        <w:spacing w:line="312" w:lineRule="auto"/>
        <w:jc w:val="both"/>
        <w:rPr>
          <w:rFonts w:asciiTheme="minorHAnsi" w:hAnsiTheme="minorHAnsi" w:cstheme="minorHAnsi"/>
          <w:sz w:val="22"/>
          <w:szCs w:val="22"/>
        </w:rPr>
      </w:pPr>
    </w:p>
    <w:p w14:paraId="39A6376F" w14:textId="77777777" w:rsidR="00C3686E" w:rsidRPr="00C3686E" w:rsidRDefault="00C3686E" w:rsidP="00C3686E">
      <w:pPr>
        <w:spacing w:line="312" w:lineRule="auto"/>
        <w:jc w:val="both"/>
        <w:rPr>
          <w:rFonts w:asciiTheme="minorHAnsi" w:hAnsiTheme="minorHAnsi" w:cstheme="minorHAnsi"/>
          <w:sz w:val="22"/>
          <w:szCs w:val="22"/>
        </w:rPr>
      </w:pPr>
    </w:p>
    <w:p w14:paraId="38A95FF0" w14:textId="77777777" w:rsidR="00C3686E" w:rsidRPr="00C3686E" w:rsidRDefault="00C3686E" w:rsidP="00C3686E">
      <w:pPr>
        <w:spacing w:line="312" w:lineRule="auto"/>
        <w:jc w:val="both"/>
        <w:rPr>
          <w:rFonts w:asciiTheme="minorHAnsi" w:hAnsiTheme="minorHAnsi" w:cstheme="minorHAnsi"/>
          <w:sz w:val="22"/>
          <w:szCs w:val="22"/>
        </w:rPr>
      </w:pPr>
    </w:p>
    <w:p w14:paraId="54D24005" w14:textId="77777777" w:rsidR="00C3686E" w:rsidRPr="00C3686E" w:rsidRDefault="00C3686E" w:rsidP="00C3686E">
      <w:pPr>
        <w:spacing w:line="312" w:lineRule="auto"/>
        <w:jc w:val="both"/>
        <w:rPr>
          <w:rFonts w:asciiTheme="minorHAnsi" w:hAnsiTheme="minorHAnsi" w:cstheme="minorHAnsi"/>
          <w:sz w:val="22"/>
          <w:szCs w:val="22"/>
        </w:rPr>
      </w:pPr>
    </w:p>
    <w:p w14:paraId="20EEE4BF" w14:textId="77777777" w:rsidR="00C3686E" w:rsidRPr="00C3686E" w:rsidRDefault="00C3686E" w:rsidP="00C3686E">
      <w:pPr>
        <w:spacing w:line="312" w:lineRule="auto"/>
        <w:jc w:val="both"/>
        <w:rPr>
          <w:rFonts w:asciiTheme="minorHAnsi" w:hAnsiTheme="minorHAnsi" w:cstheme="minorHAnsi"/>
          <w:sz w:val="22"/>
          <w:szCs w:val="22"/>
        </w:rPr>
      </w:pPr>
    </w:p>
    <w:p w14:paraId="07CA4091" w14:textId="77777777" w:rsidR="00C3686E" w:rsidRPr="00C3686E" w:rsidRDefault="00C3686E" w:rsidP="00C3686E">
      <w:pPr>
        <w:spacing w:line="312" w:lineRule="auto"/>
        <w:jc w:val="both"/>
        <w:rPr>
          <w:rFonts w:asciiTheme="minorHAnsi" w:hAnsiTheme="minorHAnsi" w:cstheme="minorHAnsi"/>
          <w:sz w:val="22"/>
          <w:szCs w:val="22"/>
        </w:rPr>
      </w:pPr>
    </w:p>
    <w:p w14:paraId="751BB198" w14:textId="77777777" w:rsidR="00C3686E" w:rsidRPr="00C3686E" w:rsidRDefault="00C3686E" w:rsidP="00C3686E">
      <w:pPr>
        <w:spacing w:line="312" w:lineRule="auto"/>
        <w:jc w:val="both"/>
        <w:rPr>
          <w:rFonts w:asciiTheme="minorHAnsi" w:hAnsiTheme="minorHAnsi" w:cstheme="minorHAnsi"/>
          <w:sz w:val="22"/>
          <w:szCs w:val="22"/>
        </w:rPr>
      </w:pPr>
    </w:p>
    <w:p w14:paraId="427919E4" w14:textId="77777777" w:rsidR="00C3686E" w:rsidRPr="00C3686E" w:rsidRDefault="00C3686E" w:rsidP="00C3686E">
      <w:pPr>
        <w:spacing w:line="312" w:lineRule="auto"/>
        <w:jc w:val="both"/>
        <w:rPr>
          <w:rFonts w:asciiTheme="minorHAnsi" w:hAnsiTheme="minorHAnsi" w:cstheme="minorHAnsi"/>
          <w:sz w:val="22"/>
          <w:szCs w:val="22"/>
        </w:rPr>
      </w:pPr>
      <w:r w:rsidRPr="00C3686E">
        <w:rPr>
          <w:rFonts w:asciiTheme="minorHAnsi" w:hAnsiTheme="minorHAnsi" w:cstheme="minorHAnsi"/>
          <w:noProof/>
          <w:sz w:val="22"/>
          <w:szCs w:val="22"/>
        </w:rPr>
        <w:drawing>
          <wp:anchor distT="0" distB="0" distL="114300" distR="114300" simplePos="0" relativeHeight="251695104" behindDoc="0" locked="0" layoutInCell="1" allowOverlap="1" wp14:anchorId="453E4F5D" wp14:editId="02777882">
            <wp:simplePos x="0" y="0"/>
            <wp:positionH relativeFrom="column">
              <wp:posOffset>-8890</wp:posOffset>
            </wp:positionH>
            <wp:positionV relativeFrom="paragraph">
              <wp:posOffset>229235</wp:posOffset>
            </wp:positionV>
            <wp:extent cx="3390900" cy="2243121"/>
            <wp:effectExtent l="0" t="0" r="0" b="508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390900" cy="2243121"/>
                    </a:xfrm>
                    <a:prstGeom prst="rect">
                      <a:avLst/>
                    </a:prstGeom>
                    <a:noFill/>
                  </pic:spPr>
                </pic:pic>
              </a:graphicData>
            </a:graphic>
            <wp14:sizeRelH relativeFrom="page">
              <wp14:pctWidth>0</wp14:pctWidth>
            </wp14:sizeRelH>
            <wp14:sizeRelV relativeFrom="page">
              <wp14:pctHeight>0</wp14:pctHeight>
            </wp14:sizeRelV>
          </wp:anchor>
        </w:drawing>
      </w:r>
    </w:p>
    <w:p w14:paraId="3AE31B77" w14:textId="77777777" w:rsidR="00C3686E" w:rsidRPr="00C3686E" w:rsidRDefault="00C3686E" w:rsidP="00C3686E">
      <w:pPr>
        <w:spacing w:line="312" w:lineRule="auto"/>
        <w:jc w:val="both"/>
        <w:rPr>
          <w:rFonts w:asciiTheme="minorHAnsi" w:hAnsiTheme="minorHAnsi" w:cstheme="minorHAnsi"/>
          <w:sz w:val="22"/>
          <w:szCs w:val="22"/>
        </w:rPr>
      </w:pPr>
      <w:r w:rsidRPr="00C3686E">
        <w:rPr>
          <w:rFonts w:asciiTheme="minorHAnsi" w:hAnsiTheme="minorHAnsi" w:cstheme="minorHAnsi"/>
          <w:sz w:val="22"/>
          <w:szCs w:val="22"/>
        </w:rPr>
        <w:t>The proportion of women who had been sexually harassed in the previous 12 months reached 35% among those aged 18-24 years, declining steeply with age.</w:t>
      </w:r>
    </w:p>
    <w:p w14:paraId="35A183B1" w14:textId="77777777" w:rsidR="00C3686E" w:rsidRPr="00C3686E" w:rsidRDefault="00C3686E" w:rsidP="00C3686E">
      <w:pPr>
        <w:spacing w:line="312" w:lineRule="auto"/>
        <w:jc w:val="both"/>
        <w:rPr>
          <w:rFonts w:asciiTheme="minorHAnsi" w:hAnsiTheme="minorHAnsi" w:cstheme="minorHAnsi"/>
          <w:sz w:val="22"/>
          <w:szCs w:val="22"/>
        </w:rPr>
      </w:pPr>
    </w:p>
    <w:p w14:paraId="1045E084" w14:textId="77777777" w:rsidR="00C3686E" w:rsidRPr="00C3686E" w:rsidRDefault="00C3686E" w:rsidP="00C3686E">
      <w:pPr>
        <w:jc w:val="both"/>
        <w:rPr>
          <w:rFonts w:asciiTheme="minorHAnsi" w:hAnsiTheme="minorHAnsi" w:cstheme="minorHAnsi"/>
          <w:color w:val="7F7F7F" w:themeColor="text1" w:themeTint="80"/>
          <w:sz w:val="20"/>
          <w:szCs w:val="20"/>
        </w:rPr>
      </w:pPr>
      <w:r w:rsidRPr="00C3686E">
        <w:rPr>
          <w:rFonts w:asciiTheme="minorHAnsi" w:hAnsiTheme="minorHAnsi" w:cstheme="minorHAnsi"/>
          <w:color w:val="7F7F7F" w:themeColor="text1" w:themeTint="80"/>
          <w:sz w:val="20"/>
          <w:szCs w:val="20"/>
        </w:rPr>
        <w:t>Per cent of women who had been sexually harassed during the previous 12 months, by age: Aus., 2021/22</w:t>
      </w:r>
    </w:p>
    <w:p w14:paraId="63C2D8CE" w14:textId="77777777" w:rsidR="00C3686E" w:rsidRPr="00C3686E" w:rsidRDefault="00C3686E" w:rsidP="00C3686E">
      <w:pPr>
        <w:spacing w:line="312" w:lineRule="auto"/>
        <w:jc w:val="both"/>
        <w:rPr>
          <w:rFonts w:asciiTheme="minorHAnsi" w:hAnsiTheme="minorHAnsi" w:cstheme="minorHAnsi"/>
          <w:sz w:val="22"/>
          <w:szCs w:val="22"/>
        </w:rPr>
      </w:pPr>
    </w:p>
    <w:p w14:paraId="45044129" w14:textId="77777777" w:rsidR="00C3686E" w:rsidRPr="00C3686E" w:rsidRDefault="00C3686E" w:rsidP="00C3686E">
      <w:pPr>
        <w:spacing w:line="312" w:lineRule="auto"/>
        <w:jc w:val="both"/>
        <w:rPr>
          <w:rFonts w:asciiTheme="minorHAnsi" w:hAnsiTheme="minorHAnsi" w:cstheme="minorHAnsi"/>
          <w:sz w:val="22"/>
          <w:szCs w:val="22"/>
        </w:rPr>
      </w:pPr>
    </w:p>
    <w:p w14:paraId="4F449211" w14:textId="77777777" w:rsidR="00C3686E" w:rsidRPr="00C3686E" w:rsidRDefault="00C3686E" w:rsidP="00C3686E">
      <w:pPr>
        <w:spacing w:line="312" w:lineRule="auto"/>
        <w:jc w:val="both"/>
        <w:rPr>
          <w:rFonts w:asciiTheme="minorHAnsi" w:hAnsiTheme="minorHAnsi" w:cstheme="minorHAnsi"/>
          <w:sz w:val="22"/>
          <w:szCs w:val="22"/>
        </w:rPr>
      </w:pPr>
    </w:p>
    <w:p w14:paraId="14A47DA8" w14:textId="77777777" w:rsidR="00C3686E" w:rsidRPr="00C3686E" w:rsidRDefault="00C3686E" w:rsidP="00C3686E">
      <w:pPr>
        <w:spacing w:line="312" w:lineRule="auto"/>
        <w:jc w:val="both"/>
        <w:rPr>
          <w:rFonts w:asciiTheme="minorHAnsi" w:hAnsiTheme="minorHAnsi" w:cstheme="minorHAnsi"/>
          <w:sz w:val="22"/>
          <w:szCs w:val="22"/>
        </w:rPr>
      </w:pPr>
    </w:p>
    <w:p w14:paraId="05754397" w14:textId="77777777" w:rsidR="00C3686E" w:rsidRPr="00C3686E" w:rsidRDefault="00C3686E" w:rsidP="00C3686E">
      <w:pPr>
        <w:spacing w:line="312" w:lineRule="auto"/>
        <w:jc w:val="both"/>
        <w:rPr>
          <w:rFonts w:asciiTheme="minorHAnsi" w:hAnsiTheme="minorHAnsi" w:cstheme="minorHAnsi"/>
          <w:sz w:val="22"/>
          <w:szCs w:val="22"/>
        </w:rPr>
      </w:pPr>
    </w:p>
    <w:p w14:paraId="7EAEBC1D" w14:textId="77777777" w:rsidR="00C3686E" w:rsidRPr="00C3686E" w:rsidRDefault="00C3686E" w:rsidP="00C3686E">
      <w:pPr>
        <w:spacing w:line="312" w:lineRule="auto"/>
        <w:jc w:val="both"/>
        <w:rPr>
          <w:rFonts w:asciiTheme="minorHAnsi" w:hAnsiTheme="minorHAnsi" w:cstheme="minorHAnsi"/>
          <w:sz w:val="22"/>
          <w:szCs w:val="22"/>
        </w:rPr>
      </w:pPr>
      <w:r w:rsidRPr="00C3686E">
        <w:rPr>
          <w:rFonts w:asciiTheme="minorHAnsi" w:hAnsiTheme="minorHAnsi" w:cstheme="minorHAnsi"/>
          <w:sz w:val="22"/>
          <w:szCs w:val="22"/>
        </w:rPr>
        <w:t>In addition to younger women, those who identified as LGBTIQ, were disabled, unemployed or experiencing financial problems, were more likely to have been sexually harassed than others.</w:t>
      </w:r>
    </w:p>
    <w:p w14:paraId="10739096" w14:textId="77777777" w:rsidR="00C3686E" w:rsidRPr="00C3686E" w:rsidRDefault="00C3686E" w:rsidP="00C3686E">
      <w:pPr>
        <w:spacing w:line="312" w:lineRule="auto"/>
        <w:jc w:val="both"/>
        <w:rPr>
          <w:rFonts w:asciiTheme="minorHAnsi" w:hAnsiTheme="minorHAnsi" w:cstheme="minorHAnsi"/>
          <w:sz w:val="22"/>
          <w:szCs w:val="22"/>
        </w:rPr>
      </w:pPr>
      <w:r w:rsidRPr="00C3686E">
        <w:rPr>
          <w:rFonts w:asciiTheme="minorHAnsi" w:hAnsiTheme="minorHAnsi" w:cstheme="minorHAnsi"/>
          <w:noProof/>
          <w:sz w:val="22"/>
          <w:szCs w:val="22"/>
        </w:rPr>
        <w:drawing>
          <wp:anchor distT="0" distB="0" distL="114300" distR="114300" simplePos="0" relativeHeight="251696128" behindDoc="0" locked="0" layoutInCell="1" allowOverlap="1" wp14:anchorId="3C56BEE9" wp14:editId="66E6C683">
            <wp:simplePos x="0" y="0"/>
            <wp:positionH relativeFrom="margin">
              <wp:align>right</wp:align>
            </wp:positionH>
            <wp:positionV relativeFrom="paragraph">
              <wp:posOffset>5080</wp:posOffset>
            </wp:positionV>
            <wp:extent cx="4622800" cy="2425700"/>
            <wp:effectExtent l="0" t="0" r="6350"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rotWithShape="1">
                    <a:blip r:embed="rId19">
                      <a:extLst>
                        <a:ext uri="{28A0092B-C50C-407E-A947-70E740481C1C}">
                          <a14:useLocalDpi xmlns:a14="http://schemas.microsoft.com/office/drawing/2010/main" val="0"/>
                        </a:ext>
                      </a:extLst>
                    </a:blip>
                    <a:srcRect l="1695" t="1750" r="3377" b="2750"/>
                    <a:stretch/>
                  </pic:blipFill>
                  <pic:spPr bwMode="auto">
                    <a:xfrm>
                      <a:off x="0" y="0"/>
                      <a:ext cx="4622800" cy="24257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C7E7B45" w14:textId="77777777" w:rsidR="00C3686E" w:rsidRPr="00C3686E" w:rsidRDefault="00C3686E" w:rsidP="00C3686E">
      <w:pPr>
        <w:jc w:val="both"/>
        <w:rPr>
          <w:rFonts w:asciiTheme="minorHAnsi" w:hAnsiTheme="minorHAnsi" w:cstheme="minorHAnsi"/>
          <w:color w:val="7F7F7F" w:themeColor="text1" w:themeTint="80"/>
          <w:sz w:val="20"/>
          <w:szCs w:val="20"/>
        </w:rPr>
      </w:pPr>
      <w:r w:rsidRPr="00C3686E">
        <w:rPr>
          <w:rFonts w:asciiTheme="minorHAnsi" w:hAnsiTheme="minorHAnsi" w:cstheme="minorHAnsi"/>
          <w:color w:val="7F7F7F" w:themeColor="text1" w:themeTint="80"/>
          <w:sz w:val="20"/>
          <w:szCs w:val="20"/>
        </w:rPr>
        <w:t>Per cent of women who had been sexually harassed during the previous 12 months, by selected characteristics: Aus., 2021/22</w:t>
      </w:r>
    </w:p>
    <w:p w14:paraId="5B4BE96C" w14:textId="77777777" w:rsidR="00C3686E" w:rsidRPr="00C3686E" w:rsidRDefault="00C3686E" w:rsidP="00C3686E">
      <w:pPr>
        <w:spacing w:line="312" w:lineRule="auto"/>
        <w:jc w:val="both"/>
        <w:rPr>
          <w:rFonts w:asciiTheme="minorHAnsi" w:hAnsiTheme="minorHAnsi" w:cstheme="minorHAnsi"/>
          <w:sz w:val="22"/>
          <w:szCs w:val="22"/>
        </w:rPr>
      </w:pPr>
    </w:p>
    <w:p w14:paraId="0A46A888" w14:textId="77777777" w:rsidR="00C3686E" w:rsidRPr="00C3686E" w:rsidRDefault="00C3686E" w:rsidP="00C3686E">
      <w:pPr>
        <w:spacing w:line="312" w:lineRule="auto"/>
        <w:jc w:val="both"/>
        <w:rPr>
          <w:rFonts w:asciiTheme="minorHAnsi" w:hAnsiTheme="minorHAnsi" w:cstheme="minorHAnsi"/>
          <w:sz w:val="22"/>
          <w:szCs w:val="22"/>
        </w:rPr>
      </w:pPr>
    </w:p>
    <w:p w14:paraId="53BC2A25" w14:textId="77777777" w:rsidR="00C3686E" w:rsidRPr="00C3686E" w:rsidRDefault="00C3686E" w:rsidP="00C3686E">
      <w:pPr>
        <w:spacing w:line="312" w:lineRule="auto"/>
        <w:jc w:val="both"/>
        <w:rPr>
          <w:rFonts w:asciiTheme="minorHAnsi" w:hAnsiTheme="minorHAnsi" w:cstheme="minorHAnsi"/>
          <w:sz w:val="22"/>
          <w:szCs w:val="22"/>
        </w:rPr>
      </w:pPr>
    </w:p>
    <w:p w14:paraId="74A9A4E1" w14:textId="77777777" w:rsidR="00C3686E" w:rsidRPr="00C3686E" w:rsidRDefault="00C3686E" w:rsidP="00C3686E">
      <w:pPr>
        <w:spacing w:line="312" w:lineRule="auto"/>
        <w:jc w:val="both"/>
        <w:rPr>
          <w:rFonts w:asciiTheme="minorHAnsi" w:hAnsiTheme="minorHAnsi" w:cstheme="minorHAnsi"/>
          <w:sz w:val="22"/>
          <w:szCs w:val="22"/>
        </w:rPr>
      </w:pPr>
    </w:p>
    <w:p w14:paraId="2B274AF8" w14:textId="77777777" w:rsidR="00C3686E" w:rsidRPr="00C3686E" w:rsidRDefault="00C3686E" w:rsidP="00C3686E">
      <w:pPr>
        <w:spacing w:line="312" w:lineRule="auto"/>
        <w:jc w:val="both"/>
        <w:rPr>
          <w:rFonts w:asciiTheme="minorHAnsi" w:hAnsiTheme="minorHAnsi" w:cstheme="minorHAnsi"/>
          <w:sz w:val="22"/>
          <w:szCs w:val="22"/>
        </w:rPr>
      </w:pPr>
    </w:p>
    <w:p w14:paraId="1D73D00E" w14:textId="77777777" w:rsidR="00C3686E" w:rsidRPr="00C3686E" w:rsidRDefault="00C3686E" w:rsidP="00C3686E">
      <w:pPr>
        <w:spacing w:line="312" w:lineRule="auto"/>
        <w:jc w:val="both"/>
        <w:rPr>
          <w:rFonts w:asciiTheme="minorHAnsi" w:hAnsiTheme="minorHAnsi" w:cstheme="minorHAnsi"/>
          <w:sz w:val="22"/>
          <w:szCs w:val="22"/>
        </w:rPr>
      </w:pPr>
    </w:p>
    <w:p w14:paraId="7F017941" w14:textId="77777777" w:rsidR="00C3686E" w:rsidRPr="00C3686E" w:rsidRDefault="00C3686E" w:rsidP="00C3686E">
      <w:pPr>
        <w:spacing w:line="312" w:lineRule="auto"/>
        <w:jc w:val="both"/>
        <w:rPr>
          <w:rFonts w:asciiTheme="minorHAnsi" w:hAnsiTheme="minorHAnsi" w:cstheme="minorHAnsi"/>
          <w:sz w:val="22"/>
          <w:szCs w:val="22"/>
        </w:rPr>
      </w:pPr>
    </w:p>
    <w:p w14:paraId="7695C073" w14:textId="77777777" w:rsidR="00C3686E" w:rsidRPr="00C3686E" w:rsidRDefault="00C3686E" w:rsidP="00C3686E">
      <w:pPr>
        <w:spacing w:line="312" w:lineRule="auto"/>
        <w:jc w:val="both"/>
        <w:rPr>
          <w:rFonts w:asciiTheme="minorHAnsi" w:hAnsiTheme="minorHAnsi" w:cstheme="minorHAnsi"/>
          <w:sz w:val="22"/>
          <w:szCs w:val="22"/>
        </w:rPr>
      </w:pPr>
      <w:r w:rsidRPr="00C3686E">
        <w:rPr>
          <w:rFonts w:asciiTheme="minorHAnsi" w:hAnsiTheme="minorHAnsi" w:cstheme="minorHAnsi"/>
          <w:sz w:val="22"/>
          <w:szCs w:val="22"/>
        </w:rPr>
        <w:t>Asked about the location where incidents of harassment occurred, places of work, entertainment, residences and outside were each identified by about a quarter of the women who had been harassed.</w:t>
      </w:r>
    </w:p>
    <w:p w14:paraId="5B636804" w14:textId="77777777" w:rsidR="00C3686E" w:rsidRPr="00C3686E" w:rsidRDefault="00C3686E" w:rsidP="00C3686E">
      <w:pPr>
        <w:spacing w:line="312" w:lineRule="auto"/>
        <w:jc w:val="both"/>
        <w:rPr>
          <w:rFonts w:asciiTheme="minorHAnsi" w:hAnsiTheme="minorHAnsi" w:cstheme="minorHAnsi"/>
          <w:sz w:val="22"/>
          <w:szCs w:val="22"/>
        </w:rPr>
      </w:pPr>
    </w:p>
    <w:p w14:paraId="0F9A505A" w14:textId="77777777" w:rsidR="00C3686E" w:rsidRPr="00C3686E" w:rsidRDefault="00C3686E" w:rsidP="00C3686E">
      <w:pPr>
        <w:spacing w:line="312" w:lineRule="auto"/>
        <w:jc w:val="both"/>
        <w:rPr>
          <w:rFonts w:asciiTheme="minorHAnsi" w:hAnsiTheme="minorHAnsi" w:cstheme="minorHAnsi"/>
          <w:b/>
          <w:bCs/>
          <w:sz w:val="22"/>
          <w:szCs w:val="22"/>
        </w:rPr>
      </w:pPr>
      <w:r w:rsidRPr="00C3686E">
        <w:rPr>
          <w:rFonts w:asciiTheme="minorHAnsi" w:hAnsiTheme="minorHAnsi" w:cstheme="minorHAnsi"/>
          <w:b/>
          <w:bCs/>
          <w:sz w:val="22"/>
          <w:szCs w:val="22"/>
        </w:rPr>
        <w:t>Perceptions of Personal Safety</w:t>
      </w:r>
    </w:p>
    <w:p w14:paraId="2E093994" w14:textId="77777777" w:rsidR="00C3686E" w:rsidRPr="00C3686E" w:rsidRDefault="00C3686E" w:rsidP="00C3686E">
      <w:pPr>
        <w:spacing w:line="312" w:lineRule="auto"/>
        <w:jc w:val="both"/>
        <w:rPr>
          <w:rFonts w:asciiTheme="minorHAnsi" w:hAnsiTheme="minorHAnsi" w:cstheme="minorHAnsi"/>
          <w:sz w:val="22"/>
          <w:szCs w:val="22"/>
        </w:rPr>
      </w:pPr>
      <w:r w:rsidRPr="00C3686E">
        <w:rPr>
          <w:rFonts w:asciiTheme="minorHAnsi" w:hAnsiTheme="minorHAnsi" w:cstheme="minorHAnsi"/>
          <w:sz w:val="22"/>
          <w:szCs w:val="22"/>
        </w:rPr>
        <w:t>Perceptions of personal safety when using public transport alone after dark, as well as walking near their home alone at night, were the subject of further inquiries.</w:t>
      </w:r>
    </w:p>
    <w:p w14:paraId="32F2B50A" w14:textId="77777777" w:rsidR="00C3686E" w:rsidRPr="00C3686E" w:rsidRDefault="00C3686E" w:rsidP="00C3686E">
      <w:pPr>
        <w:spacing w:line="312" w:lineRule="auto"/>
        <w:ind w:left="5670"/>
        <w:jc w:val="both"/>
        <w:rPr>
          <w:rFonts w:asciiTheme="minorHAnsi" w:hAnsiTheme="minorHAnsi" w:cstheme="minorHAnsi"/>
          <w:i/>
          <w:iCs/>
          <w:sz w:val="22"/>
          <w:szCs w:val="22"/>
        </w:rPr>
      </w:pPr>
      <w:r w:rsidRPr="00C3686E">
        <w:rPr>
          <w:rFonts w:asciiTheme="minorHAnsi" w:hAnsiTheme="minorHAnsi" w:cstheme="minorHAnsi"/>
          <w:noProof/>
          <w:sz w:val="22"/>
          <w:szCs w:val="22"/>
        </w:rPr>
        <w:drawing>
          <wp:anchor distT="0" distB="0" distL="114300" distR="114300" simplePos="0" relativeHeight="251697152" behindDoc="0" locked="0" layoutInCell="1" allowOverlap="1" wp14:anchorId="3E5A8694" wp14:editId="31E9A054">
            <wp:simplePos x="0" y="0"/>
            <wp:positionH relativeFrom="margin">
              <wp:posOffset>31750</wp:posOffset>
            </wp:positionH>
            <wp:positionV relativeFrom="paragraph">
              <wp:posOffset>3810</wp:posOffset>
            </wp:positionV>
            <wp:extent cx="3467100" cy="2213166"/>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467100" cy="2213166"/>
                    </a:xfrm>
                    <a:prstGeom prst="rect">
                      <a:avLst/>
                    </a:prstGeom>
                    <a:noFill/>
                  </pic:spPr>
                </pic:pic>
              </a:graphicData>
            </a:graphic>
            <wp14:sizeRelH relativeFrom="page">
              <wp14:pctWidth>0</wp14:pctWidth>
            </wp14:sizeRelH>
            <wp14:sizeRelV relativeFrom="page">
              <wp14:pctHeight>0</wp14:pctHeight>
            </wp14:sizeRelV>
          </wp:anchor>
        </w:drawing>
      </w:r>
      <w:r w:rsidRPr="00C3686E">
        <w:rPr>
          <w:rFonts w:asciiTheme="minorHAnsi" w:hAnsiTheme="minorHAnsi" w:cstheme="minorHAnsi"/>
          <w:i/>
          <w:iCs/>
          <w:sz w:val="22"/>
          <w:szCs w:val="22"/>
        </w:rPr>
        <w:t>While Using Public Transport after Dark</w:t>
      </w:r>
    </w:p>
    <w:p w14:paraId="2418050B" w14:textId="77777777" w:rsidR="00C3686E" w:rsidRPr="00C3686E" w:rsidRDefault="00C3686E" w:rsidP="00C3686E">
      <w:pPr>
        <w:spacing w:line="312" w:lineRule="auto"/>
        <w:jc w:val="both"/>
        <w:rPr>
          <w:rFonts w:asciiTheme="minorHAnsi" w:hAnsiTheme="minorHAnsi" w:cstheme="minorHAnsi"/>
          <w:sz w:val="22"/>
          <w:szCs w:val="22"/>
        </w:rPr>
      </w:pPr>
      <w:r w:rsidRPr="00C3686E">
        <w:rPr>
          <w:rFonts w:asciiTheme="minorHAnsi" w:hAnsiTheme="minorHAnsi" w:cstheme="minorHAnsi"/>
          <w:sz w:val="22"/>
          <w:szCs w:val="22"/>
        </w:rPr>
        <w:t>Women were three times more likely than men than men to feel unsafe while using public transport alone after dark, and over four times more likely to feel unsafe while waiting for public transport after dark.</w:t>
      </w:r>
    </w:p>
    <w:p w14:paraId="48864A9E" w14:textId="77777777" w:rsidR="00C3686E" w:rsidRPr="00C3686E" w:rsidRDefault="00C3686E" w:rsidP="00C3686E">
      <w:pPr>
        <w:spacing w:line="312" w:lineRule="auto"/>
        <w:jc w:val="both"/>
        <w:rPr>
          <w:rFonts w:asciiTheme="minorHAnsi" w:hAnsiTheme="minorHAnsi" w:cstheme="minorHAnsi"/>
          <w:sz w:val="8"/>
          <w:szCs w:val="8"/>
        </w:rPr>
      </w:pPr>
    </w:p>
    <w:p w14:paraId="62E95E25" w14:textId="77777777" w:rsidR="00C3686E" w:rsidRPr="00C3686E" w:rsidRDefault="00C3686E" w:rsidP="00C3686E">
      <w:pPr>
        <w:jc w:val="both"/>
        <w:rPr>
          <w:rFonts w:asciiTheme="minorHAnsi" w:hAnsiTheme="minorHAnsi" w:cstheme="minorHAnsi"/>
          <w:color w:val="7F7F7F" w:themeColor="text1" w:themeTint="80"/>
          <w:sz w:val="20"/>
          <w:szCs w:val="20"/>
        </w:rPr>
      </w:pPr>
      <w:r w:rsidRPr="00C3686E">
        <w:rPr>
          <w:rFonts w:asciiTheme="minorHAnsi" w:hAnsiTheme="minorHAnsi" w:cstheme="minorHAnsi"/>
          <w:color w:val="7F7F7F" w:themeColor="text1" w:themeTint="80"/>
          <w:sz w:val="20"/>
          <w:szCs w:val="20"/>
        </w:rPr>
        <w:t>Per cent of persons who felt unsafe while using public transport by sex: Aus., 2021/22</w:t>
      </w:r>
    </w:p>
    <w:p w14:paraId="2DCDADF9" w14:textId="77777777" w:rsidR="00C3686E" w:rsidRPr="00C3686E" w:rsidRDefault="00C3686E" w:rsidP="00C3686E">
      <w:pPr>
        <w:spacing w:line="312" w:lineRule="auto"/>
        <w:jc w:val="both"/>
        <w:rPr>
          <w:rFonts w:asciiTheme="minorHAnsi" w:hAnsiTheme="minorHAnsi" w:cstheme="minorHAnsi"/>
          <w:sz w:val="22"/>
          <w:szCs w:val="22"/>
        </w:rPr>
      </w:pPr>
    </w:p>
    <w:p w14:paraId="735E41E2" w14:textId="49847C33" w:rsidR="00C3686E" w:rsidRDefault="00C3686E" w:rsidP="00C3686E">
      <w:pPr>
        <w:spacing w:line="312" w:lineRule="auto"/>
        <w:jc w:val="both"/>
        <w:rPr>
          <w:rFonts w:asciiTheme="minorHAnsi" w:hAnsiTheme="minorHAnsi" w:cstheme="minorHAnsi"/>
          <w:sz w:val="22"/>
          <w:szCs w:val="22"/>
        </w:rPr>
      </w:pPr>
    </w:p>
    <w:p w14:paraId="7A9D89C4" w14:textId="77777777" w:rsidR="00C3686E" w:rsidRPr="00C3686E" w:rsidRDefault="00C3686E" w:rsidP="00C3686E">
      <w:pPr>
        <w:spacing w:line="312" w:lineRule="auto"/>
        <w:jc w:val="both"/>
        <w:rPr>
          <w:rFonts w:asciiTheme="minorHAnsi" w:hAnsiTheme="minorHAnsi" w:cstheme="minorHAnsi"/>
          <w:sz w:val="22"/>
          <w:szCs w:val="22"/>
        </w:rPr>
      </w:pPr>
    </w:p>
    <w:p w14:paraId="02128054" w14:textId="77777777" w:rsidR="00C3686E" w:rsidRPr="00C3686E" w:rsidRDefault="00C3686E" w:rsidP="00C3686E">
      <w:pPr>
        <w:spacing w:line="312" w:lineRule="auto"/>
        <w:jc w:val="both"/>
        <w:rPr>
          <w:rFonts w:asciiTheme="minorHAnsi" w:hAnsiTheme="minorHAnsi" w:cstheme="minorHAnsi"/>
          <w:i/>
          <w:iCs/>
          <w:sz w:val="22"/>
          <w:szCs w:val="22"/>
        </w:rPr>
      </w:pPr>
      <w:r w:rsidRPr="00C3686E">
        <w:rPr>
          <w:rFonts w:asciiTheme="minorHAnsi" w:hAnsiTheme="minorHAnsi" w:cstheme="minorHAnsi"/>
          <w:noProof/>
          <w:sz w:val="22"/>
          <w:szCs w:val="22"/>
        </w:rPr>
        <w:drawing>
          <wp:anchor distT="0" distB="0" distL="114300" distR="114300" simplePos="0" relativeHeight="251698176" behindDoc="0" locked="0" layoutInCell="1" allowOverlap="1" wp14:anchorId="6AB871B5" wp14:editId="40EF19A0">
            <wp:simplePos x="0" y="0"/>
            <wp:positionH relativeFrom="margin">
              <wp:align>right</wp:align>
            </wp:positionH>
            <wp:positionV relativeFrom="paragraph">
              <wp:posOffset>6350</wp:posOffset>
            </wp:positionV>
            <wp:extent cx="3149600" cy="2152015"/>
            <wp:effectExtent l="0" t="0" r="0" b="635"/>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1">
                      <a:extLst>
                        <a:ext uri="{28A0092B-C50C-407E-A947-70E740481C1C}">
                          <a14:useLocalDpi xmlns:a14="http://schemas.microsoft.com/office/drawing/2010/main" val="0"/>
                        </a:ext>
                      </a:extLst>
                    </a:blip>
                    <a:srcRect r="5330"/>
                    <a:stretch/>
                  </pic:blipFill>
                  <pic:spPr bwMode="auto">
                    <a:xfrm>
                      <a:off x="0" y="0"/>
                      <a:ext cx="3149600" cy="21520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3686E">
        <w:rPr>
          <w:rFonts w:asciiTheme="minorHAnsi" w:hAnsiTheme="minorHAnsi" w:cstheme="minorHAnsi"/>
          <w:i/>
          <w:iCs/>
          <w:sz w:val="22"/>
          <w:szCs w:val="22"/>
        </w:rPr>
        <w:t>While Alone after Dark</w:t>
      </w:r>
    </w:p>
    <w:p w14:paraId="1AD1C87F" w14:textId="77777777" w:rsidR="00C3686E" w:rsidRPr="00C3686E" w:rsidRDefault="00C3686E" w:rsidP="00C3686E">
      <w:pPr>
        <w:spacing w:line="312" w:lineRule="auto"/>
        <w:jc w:val="both"/>
        <w:rPr>
          <w:rFonts w:asciiTheme="minorHAnsi" w:hAnsiTheme="minorHAnsi" w:cstheme="minorHAnsi"/>
          <w:sz w:val="22"/>
          <w:szCs w:val="22"/>
        </w:rPr>
      </w:pPr>
      <w:r w:rsidRPr="00C3686E">
        <w:rPr>
          <w:rFonts w:asciiTheme="minorHAnsi" w:hAnsiTheme="minorHAnsi" w:cstheme="minorHAnsi"/>
          <w:sz w:val="22"/>
          <w:szCs w:val="22"/>
        </w:rPr>
        <w:t xml:space="preserve">Women were over twice as likely to report apprehensions about their personal safety at night, with 15.2% declaring that they felt unsafe walking alone in their local area after dark, compared with 6.3% of males. </w:t>
      </w:r>
    </w:p>
    <w:p w14:paraId="7D056988" w14:textId="77777777" w:rsidR="00C3686E" w:rsidRPr="00C3686E" w:rsidRDefault="00C3686E" w:rsidP="00C3686E">
      <w:pPr>
        <w:spacing w:line="312" w:lineRule="auto"/>
        <w:jc w:val="both"/>
        <w:rPr>
          <w:rFonts w:asciiTheme="minorHAnsi" w:hAnsiTheme="minorHAnsi" w:cstheme="minorHAnsi"/>
          <w:i/>
          <w:iCs/>
          <w:sz w:val="22"/>
          <w:szCs w:val="22"/>
        </w:rPr>
      </w:pPr>
      <w:r w:rsidRPr="00C3686E">
        <w:rPr>
          <w:rFonts w:asciiTheme="minorHAnsi" w:hAnsiTheme="minorHAnsi" w:cstheme="minorHAnsi"/>
          <w:sz w:val="22"/>
          <w:szCs w:val="22"/>
        </w:rPr>
        <w:t>Further, 7.3% of women and 1% of men, felt concerns for their personal safety while alone at home after dark</w:t>
      </w:r>
      <w:r w:rsidRPr="00C3686E">
        <w:rPr>
          <w:rFonts w:asciiTheme="minorHAnsi" w:hAnsiTheme="minorHAnsi" w:cstheme="minorHAnsi"/>
          <w:i/>
          <w:iCs/>
          <w:sz w:val="22"/>
          <w:szCs w:val="22"/>
        </w:rPr>
        <w:t>.</w:t>
      </w:r>
    </w:p>
    <w:p w14:paraId="53AE7C7E" w14:textId="77777777" w:rsidR="00C3686E" w:rsidRPr="00C3686E" w:rsidRDefault="00C3686E" w:rsidP="00C3686E">
      <w:pPr>
        <w:spacing w:line="312" w:lineRule="auto"/>
        <w:jc w:val="both"/>
        <w:rPr>
          <w:rFonts w:asciiTheme="minorHAnsi" w:hAnsiTheme="minorHAnsi" w:cstheme="minorHAnsi"/>
          <w:i/>
          <w:iCs/>
          <w:sz w:val="6"/>
          <w:szCs w:val="6"/>
        </w:rPr>
      </w:pPr>
    </w:p>
    <w:p w14:paraId="67EAD1CD" w14:textId="77777777" w:rsidR="00C3686E" w:rsidRPr="00C3686E" w:rsidRDefault="00C3686E" w:rsidP="00C3686E">
      <w:pPr>
        <w:jc w:val="both"/>
        <w:rPr>
          <w:rFonts w:asciiTheme="minorHAnsi" w:hAnsiTheme="minorHAnsi" w:cstheme="minorHAnsi"/>
          <w:sz w:val="20"/>
          <w:szCs w:val="20"/>
        </w:rPr>
      </w:pPr>
      <w:r w:rsidRPr="00C3686E">
        <w:rPr>
          <w:rFonts w:asciiTheme="minorHAnsi" w:hAnsiTheme="minorHAnsi" w:cstheme="minorHAnsi"/>
          <w:color w:val="7F7F7F" w:themeColor="text1" w:themeTint="80"/>
          <w:sz w:val="20"/>
          <w:szCs w:val="20"/>
        </w:rPr>
        <w:lastRenderedPageBreak/>
        <w:t>Per cent of persons who felt unsafe at home after dark: Aus., 2021/22</w:t>
      </w:r>
    </w:p>
    <w:p w14:paraId="4ADEC12B" w14:textId="77777777" w:rsidR="00A80252" w:rsidRPr="0058284B" w:rsidRDefault="00A80252" w:rsidP="00A80252">
      <w:pPr>
        <w:jc w:val="both"/>
        <w:rPr>
          <w:rFonts w:asciiTheme="minorHAnsi" w:hAnsiTheme="minorHAnsi" w:cstheme="minorHAnsi"/>
          <w:sz w:val="22"/>
          <w:szCs w:val="22"/>
          <w:lang w:val="en-AU"/>
        </w:rPr>
      </w:pPr>
      <w:r w:rsidRPr="0058284B">
        <w:rPr>
          <w:rFonts w:asciiTheme="minorHAnsi" w:hAnsiTheme="minorHAnsi" w:cstheme="minorHAnsi"/>
          <w:b/>
          <w:bCs/>
          <w:sz w:val="22"/>
          <w:szCs w:val="22"/>
          <w:lang w:val="en-AU"/>
        </w:rPr>
        <w:t>Local Measures of the Incidence of Family Violence and Child Abuse</w:t>
      </w:r>
    </w:p>
    <w:p w14:paraId="5EA56131" w14:textId="63FA7A6E" w:rsidR="00A80252" w:rsidRPr="0058284B" w:rsidRDefault="00A80252" w:rsidP="00A80252">
      <w:pPr>
        <w:tabs>
          <w:tab w:val="left" w:pos="360"/>
        </w:tabs>
        <w:spacing w:before="120" w:line="360" w:lineRule="auto"/>
        <w:jc w:val="both"/>
        <w:rPr>
          <w:rFonts w:asciiTheme="minorHAnsi" w:hAnsiTheme="minorHAnsi" w:cstheme="minorHAnsi"/>
          <w:sz w:val="22"/>
          <w:szCs w:val="22"/>
          <w:lang w:val="en-AU"/>
        </w:rPr>
      </w:pPr>
      <w:r w:rsidRPr="0058284B">
        <w:rPr>
          <w:rFonts w:asciiTheme="minorHAnsi" w:hAnsiTheme="minorHAnsi" w:cstheme="minorHAnsi"/>
          <w:noProof/>
          <w:color w:val="FFFFFF" w:themeColor="background1"/>
          <w:sz w:val="20"/>
          <w:szCs w:val="20"/>
        </w:rPr>
        <w:drawing>
          <wp:anchor distT="0" distB="0" distL="114300" distR="114300" simplePos="0" relativeHeight="251704320" behindDoc="0" locked="0" layoutInCell="1" allowOverlap="1" wp14:anchorId="2034CC0D" wp14:editId="10959DC7">
            <wp:simplePos x="0" y="0"/>
            <wp:positionH relativeFrom="column">
              <wp:posOffset>118110</wp:posOffset>
            </wp:positionH>
            <wp:positionV relativeFrom="paragraph">
              <wp:posOffset>728345</wp:posOffset>
            </wp:positionV>
            <wp:extent cx="3593465" cy="8348345"/>
            <wp:effectExtent l="0" t="0" r="6985"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22">
                      <a:extLst>
                        <a:ext uri="{28A0092B-C50C-407E-A947-70E740481C1C}">
                          <a14:useLocalDpi xmlns:a14="http://schemas.microsoft.com/office/drawing/2010/main" val="0"/>
                        </a:ext>
                      </a:extLst>
                    </a:blip>
                    <a:srcRect r="5907"/>
                    <a:stretch/>
                  </pic:blipFill>
                  <pic:spPr bwMode="auto">
                    <a:xfrm>
                      <a:off x="0" y="0"/>
                      <a:ext cx="3593465" cy="83483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58284B">
        <w:rPr>
          <w:rFonts w:asciiTheme="minorHAnsi" w:hAnsiTheme="minorHAnsi" w:cstheme="minorHAnsi"/>
          <w:sz w:val="22"/>
          <w:szCs w:val="22"/>
          <w:lang w:val="en-AU"/>
        </w:rPr>
        <w:t xml:space="preserve">Local measures of the incidence of family violence and child abuse are less reliable, since they only reflect those instances of violence which reach the attention of responsible agencies, such as the police, the courts and child protection authorities. </w:t>
      </w:r>
    </w:p>
    <w:p w14:paraId="098E7516" w14:textId="59EFEA40" w:rsidR="00A80252" w:rsidRPr="0058284B" w:rsidRDefault="00A80252" w:rsidP="00A80252">
      <w:pPr>
        <w:tabs>
          <w:tab w:val="left" w:pos="2127"/>
        </w:tabs>
        <w:jc w:val="both"/>
        <w:rPr>
          <w:rFonts w:asciiTheme="minorHAnsi" w:hAnsiTheme="minorHAnsi" w:cstheme="minorHAnsi"/>
          <w:color w:val="7F7F7F"/>
          <w:sz w:val="20"/>
          <w:szCs w:val="20"/>
          <w:lang w:val="en-AU"/>
        </w:rPr>
      </w:pPr>
      <w:r w:rsidRPr="0058284B">
        <w:rPr>
          <w:rFonts w:asciiTheme="minorHAnsi" w:hAnsiTheme="minorHAnsi" w:cstheme="minorHAnsi"/>
          <w:color w:val="7F7F7F"/>
          <w:sz w:val="20"/>
          <w:szCs w:val="20"/>
          <w:lang w:val="en-AU"/>
        </w:rPr>
        <w:t xml:space="preserve">Family-related Alleged Violent Offences, 2021/22 [per 100,000 residents], by Municipality </w:t>
      </w:r>
    </w:p>
    <w:p w14:paraId="392E9021" w14:textId="77777777" w:rsidR="00A80252" w:rsidRPr="0058284B" w:rsidRDefault="00A80252" w:rsidP="00A80252">
      <w:pPr>
        <w:tabs>
          <w:tab w:val="left" w:pos="2127"/>
        </w:tabs>
        <w:jc w:val="both"/>
        <w:rPr>
          <w:rFonts w:asciiTheme="minorHAnsi" w:hAnsiTheme="minorHAnsi" w:cstheme="minorHAnsi"/>
          <w:color w:val="7F7F7F"/>
          <w:sz w:val="6"/>
          <w:szCs w:val="6"/>
          <w:lang w:val="en-AU"/>
        </w:rPr>
      </w:pPr>
    </w:p>
    <w:p w14:paraId="4A5C123C" w14:textId="3CDE4FAA" w:rsidR="00A80252" w:rsidRPr="0058284B" w:rsidRDefault="00A80252" w:rsidP="00A80252">
      <w:pPr>
        <w:spacing w:before="120" w:line="360" w:lineRule="auto"/>
        <w:jc w:val="both"/>
        <w:rPr>
          <w:rFonts w:asciiTheme="minorHAnsi" w:hAnsiTheme="minorHAnsi" w:cstheme="minorHAnsi"/>
          <w:sz w:val="22"/>
          <w:szCs w:val="22"/>
          <w:lang w:val="en-AU"/>
        </w:rPr>
      </w:pPr>
      <w:r w:rsidRPr="0058284B">
        <w:rPr>
          <w:rFonts w:asciiTheme="minorHAnsi" w:hAnsiTheme="minorHAnsi" w:cstheme="minorHAnsi"/>
          <w:sz w:val="22"/>
          <w:szCs w:val="22"/>
          <w:lang w:val="en-AU"/>
        </w:rPr>
        <w:t>The rate of family-related alleged violent offences (per 100,000 residents) in Greater Dandenong, stood at 699 per 100,000 residents in 2021/22 – the third highest rate in metropolitan Melbourne and 20% more than the Victorian level. Women accounted for 73% of alleged incidences of violence within families.</w:t>
      </w:r>
    </w:p>
    <w:p w14:paraId="4934763E" w14:textId="44042CFD" w:rsidR="00A80252" w:rsidRPr="0058284B" w:rsidRDefault="00A80252" w:rsidP="00A80252">
      <w:pPr>
        <w:spacing w:line="360" w:lineRule="auto"/>
        <w:jc w:val="both"/>
        <w:rPr>
          <w:rFonts w:asciiTheme="minorHAnsi" w:hAnsiTheme="minorHAnsi" w:cstheme="minorHAnsi"/>
          <w:sz w:val="22"/>
          <w:szCs w:val="22"/>
          <w:lang w:val="en-AU"/>
        </w:rPr>
      </w:pPr>
      <w:r w:rsidRPr="0058284B">
        <w:rPr>
          <w:rFonts w:asciiTheme="minorHAnsi" w:hAnsiTheme="minorHAnsi" w:cstheme="minorHAnsi"/>
          <w:sz w:val="22"/>
          <w:szCs w:val="22"/>
          <w:lang w:val="en-AU"/>
        </w:rPr>
        <w:t>The rate of such offences has risen in Greater Dandenong by 37% since 2010/11, and by 121% across Victoria in this period.</w:t>
      </w:r>
    </w:p>
    <w:p w14:paraId="7CA8F852" w14:textId="51482D91" w:rsidR="00A80252" w:rsidRPr="0058284B" w:rsidRDefault="00A80252" w:rsidP="00A80252">
      <w:pPr>
        <w:contextualSpacing/>
        <w:jc w:val="both"/>
        <w:rPr>
          <w:rFonts w:asciiTheme="minorHAnsi" w:hAnsiTheme="minorHAnsi" w:cstheme="minorHAnsi"/>
          <w:color w:val="7F7F7F" w:themeColor="text1" w:themeTint="80"/>
          <w:sz w:val="8"/>
          <w:szCs w:val="8"/>
        </w:rPr>
      </w:pPr>
    </w:p>
    <w:p w14:paraId="794B4CC9" w14:textId="3AA65E52" w:rsidR="00A80252" w:rsidRPr="0058284B" w:rsidRDefault="00A80252" w:rsidP="00A80252">
      <w:pPr>
        <w:contextualSpacing/>
        <w:jc w:val="both"/>
        <w:rPr>
          <w:rFonts w:asciiTheme="minorHAnsi" w:hAnsiTheme="minorHAnsi" w:cstheme="minorHAnsi"/>
          <w:color w:val="7F7F7F" w:themeColor="text1" w:themeTint="80"/>
          <w:sz w:val="20"/>
          <w:szCs w:val="20"/>
        </w:rPr>
      </w:pPr>
    </w:p>
    <w:p w14:paraId="58CDA38B" w14:textId="4E6AD9F1" w:rsidR="00A80252" w:rsidRDefault="00A80252" w:rsidP="00A80252">
      <w:pPr>
        <w:contextualSpacing/>
        <w:jc w:val="both"/>
        <w:rPr>
          <w:rFonts w:asciiTheme="minorHAnsi" w:hAnsiTheme="minorHAnsi" w:cstheme="minorHAnsi"/>
          <w:color w:val="7F7F7F" w:themeColor="text1" w:themeTint="80"/>
          <w:sz w:val="20"/>
          <w:szCs w:val="20"/>
        </w:rPr>
      </w:pPr>
    </w:p>
    <w:p w14:paraId="2F2D6DF0" w14:textId="21B5DCD7" w:rsidR="00A80252" w:rsidRDefault="00A80252" w:rsidP="00A80252">
      <w:pPr>
        <w:contextualSpacing/>
        <w:jc w:val="both"/>
        <w:rPr>
          <w:rFonts w:asciiTheme="minorHAnsi" w:hAnsiTheme="minorHAnsi" w:cstheme="minorHAnsi"/>
          <w:color w:val="7F7F7F" w:themeColor="text1" w:themeTint="80"/>
          <w:sz w:val="20"/>
          <w:szCs w:val="20"/>
        </w:rPr>
      </w:pPr>
    </w:p>
    <w:p w14:paraId="0C34D737" w14:textId="2262D333" w:rsidR="00A80252" w:rsidRDefault="00A80252" w:rsidP="00A80252">
      <w:pPr>
        <w:contextualSpacing/>
        <w:jc w:val="both"/>
        <w:rPr>
          <w:rFonts w:asciiTheme="minorHAnsi" w:hAnsiTheme="minorHAnsi" w:cstheme="minorHAnsi"/>
          <w:color w:val="7F7F7F" w:themeColor="text1" w:themeTint="80"/>
          <w:sz w:val="20"/>
          <w:szCs w:val="20"/>
        </w:rPr>
      </w:pPr>
    </w:p>
    <w:p w14:paraId="0F728DC6" w14:textId="38B598A2" w:rsidR="00A80252" w:rsidRDefault="00A80252" w:rsidP="00A80252">
      <w:pPr>
        <w:contextualSpacing/>
        <w:jc w:val="both"/>
        <w:rPr>
          <w:rFonts w:asciiTheme="minorHAnsi" w:hAnsiTheme="minorHAnsi" w:cstheme="minorHAnsi"/>
          <w:color w:val="7F7F7F" w:themeColor="text1" w:themeTint="80"/>
          <w:sz w:val="20"/>
          <w:szCs w:val="20"/>
        </w:rPr>
      </w:pPr>
    </w:p>
    <w:p w14:paraId="5CE7BFA5" w14:textId="7DFF96A7" w:rsidR="00C3686E" w:rsidRPr="0091465B" w:rsidRDefault="00C3686E" w:rsidP="00C3686E">
      <w:pPr>
        <w:tabs>
          <w:tab w:val="left" w:pos="360"/>
        </w:tabs>
        <w:spacing w:line="360" w:lineRule="auto"/>
        <w:jc w:val="both"/>
        <w:rPr>
          <w:rFonts w:asciiTheme="minorHAnsi" w:hAnsiTheme="minorHAnsi" w:cstheme="minorHAnsi"/>
          <w:sz w:val="22"/>
          <w:szCs w:val="22"/>
          <w:lang w:val="en-AU"/>
        </w:rPr>
      </w:pPr>
    </w:p>
    <w:p w14:paraId="06BBEEF4" w14:textId="268E5CCE" w:rsidR="00A80252" w:rsidRPr="0058284B" w:rsidRDefault="00A80252" w:rsidP="00A80252">
      <w:pPr>
        <w:contextualSpacing/>
        <w:jc w:val="both"/>
        <w:rPr>
          <w:rFonts w:asciiTheme="minorHAnsi" w:hAnsiTheme="minorHAnsi" w:cstheme="minorHAnsi"/>
          <w:color w:val="7F7F7F" w:themeColor="text1" w:themeTint="80"/>
          <w:sz w:val="20"/>
          <w:szCs w:val="20"/>
        </w:rPr>
      </w:pPr>
      <w:r w:rsidRPr="00A80252">
        <w:rPr>
          <w:rFonts w:asciiTheme="minorHAnsi" w:hAnsiTheme="minorHAnsi" w:cstheme="minorHAnsi"/>
          <w:color w:val="7F7F7F" w:themeColor="text1" w:themeTint="80"/>
          <w:sz w:val="20"/>
          <w:szCs w:val="20"/>
        </w:rPr>
        <w:t xml:space="preserve"> </w:t>
      </w:r>
      <w:r w:rsidRPr="0058284B">
        <w:rPr>
          <w:rFonts w:asciiTheme="minorHAnsi" w:hAnsiTheme="minorHAnsi" w:cstheme="minorHAnsi"/>
          <w:color w:val="7F7F7F" w:themeColor="text1" w:themeTint="80"/>
          <w:sz w:val="20"/>
          <w:szCs w:val="20"/>
        </w:rPr>
        <w:t>Rate of alleged violent offences, per 100,000 population: Greater Dandenong and Metro. Melbourne, 2010/2022</w:t>
      </w:r>
    </w:p>
    <w:p w14:paraId="41B003AB" w14:textId="514383F8" w:rsidR="00C3686E" w:rsidRDefault="00A80252" w:rsidP="00C3686E">
      <w:pPr>
        <w:spacing w:after="60"/>
        <w:jc w:val="both"/>
        <w:rPr>
          <w:rFonts w:asciiTheme="minorHAnsi" w:hAnsiTheme="minorHAnsi" w:cstheme="minorHAnsi"/>
          <w:b/>
          <w:sz w:val="22"/>
          <w:szCs w:val="22"/>
        </w:rPr>
      </w:pPr>
      <w:r w:rsidRPr="0058284B">
        <w:rPr>
          <w:rFonts w:asciiTheme="minorHAnsi" w:hAnsiTheme="minorHAnsi" w:cstheme="minorHAnsi"/>
          <w:noProof/>
          <w:color w:val="7F7F7F" w:themeColor="text1" w:themeTint="80"/>
          <w:sz w:val="8"/>
          <w:szCs w:val="8"/>
        </w:rPr>
        <w:lastRenderedPageBreak/>
        <w:drawing>
          <wp:anchor distT="0" distB="0" distL="114300" distR="114300" simplePos="0" relativeHeight="251705344" behindDoc="0" locked="0" layoutInCell="1" allowOverlap="1" wp14:anchorId="17008ED6" wp14:editId="262AB250">
            <wp:simplePos x="0" y="0"/>
            <wp:positionH relativeFrom="margin">
              <wp:align>right</wp:align>
            </wp:positionH>
            <wp:positionV relativeFrom="paragraph">
              <wp:posOffset>244475</wp:posOffset>
            </wp:positionV>
            <wp:extent cx="3776980" cy="273113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776980" cy="2731135"/>
                    </a:xfrm>
                    <a:prstGeom prst="rect">
                      <a:avLst/>
                    </a:prstGeom>
                    <a:noFill/>
                  </pic:spPr>
                </pic:pic>
              </a:graphicData>
            </a:graphic>
            <wp14:sizeRelH relativeFrom="page">
              <wp14:pctWidth>0</wp14:pctWidth>
            </wp14:sizeRelH>
            <wp14:sizeRelV relativeFrom="page">
              <wp14:pctHeight>0</wp14:pctHeight>
            </wp14:sizeRelV>
          </wp:anchor>
        </w:drawing>
      </w:r>
    </w:p>
    <w:p w14:paraId="15B4894D" w14:textId="3730ABF3" w:rsidR="007527F5" w:rsidRDefault="007527F5" w:rsidP="00BF4130">
      <w:pPr>
        <w:tabs>
          <w:tab w:val="left" w:pos="360"/>
        </w:tabs>
        <w:spacing w:beforeLines="60" w:before="144" w:line="360" w:lineRule="auto"/>
        <w:jc w:val="both"/>
        <w:rPr>
          <w:rFonts w:asciiTheme="minorHAnsi" w:hAnsiTheme="minorHAnsi" w:cstheme="minorHAnsi"/>
          <w:b/>
          <w:bCs/>
          <w:sz w:val="22"/>
          <w:szCs w:val="22"/>
          <w:lang w:val="en-AU"/>
        </w:rPr>
      </w:pPr>
      <w:r>
        <w:rPr>
          <w:rFonts w:asciiTheme="minorHAnsi" w:hAnsiTheme="minorHAnsi" w:cstheme="minorHAnsi"/>
          <w:b/>
          <w:bCs/>
          <w:sz w:val="22"/>
          <w:szCs w:val="22"/>
          <w:lang w:val="en-AU"/>
        </w:rPr>
        <w:t xml:space="preserve">Sexual Offending against People aged Less than 18 </w:t>
      </w:r>
      <w:proofErr w:type="gramStart"/>
      <w:r>
        <w:rPr>
          <w:rFonts w:asciiTheme="minorHAnsi" w:hAnsiTheme="minorHAnsi" w:cstheme="minorHAnsi"/>
          <w:b/>
          <w:bCs/>
          <w:sz w:val="22"/>
          <w:szCs w:val="22"/>
          <w:lang w:val="en-AU"/>
        </w:rPr>
        <w:t>years</w:t>
      </w:r>
      <w:proofErr w:type="gramEnd"/>
    </w:p>
    <w:p w14:paraId="08726838" w14:textId="0E9176D8" w:rsidR="007527F5" w:rsidRPr="007527F5" w:rsidRDefault="007527F5" w:rsidP="007527F5">
      <w:pPr>
        <w:spacing w:line="312" w:lineRule="auto"/>
        <w:jc w:val="both"/>
        <w:rPr>
          <w:rFonts w:asciiTheme="minorHAnsi" w:hAnsiTheme="minorHAnsi" w:cstheme="minorHAnsi"/>
          <w:sz w:val="22"/>
          <w:szCs w:val="22"/>
        </w:rPr>
      </w:pPr>
      <w:r w:rsidRPr="007527F5">
        <w:rPr>
          <w:rFonts w:asciiTheme="minorHAnsi" w:hAnsiTheme="minorHAnsi" w:cstheme="minorHAnsi"/>
          <w:sz w:val="22"/>
          <w:szCs w:val="22"/>
        </w:rPr>
        <w:t xml:space="preserve">In 2023, the University of New South Wales published a report entitled ‘Understanding Child Sex Offending Behaviors and Attitudes among Australian Men’ </w:t>
      </w:r>
      <w:r w:rsidR="0039715E">
        <w:rPr>
          <w:rFonts w:asciiTheme="minorHAnsi" w:hAnsiTheme="minorHAnsi" w:cstheme="minorHAnsi"/>
          <w:sz w:val="22"/>
          <w:szCs w:val="22"/>
        </w:rPr>
        <w:t>w</w:t>
      </w:r>
      <w:r w:rsidRPr="007527F5">
        <w:rPr>
          <w:rFonts w:asciiTheme="minorHAnsi" w:hAnsiTheme="minorHAnsi" w:cstheme="minorHAnsi"/>
          <w:sz w:val="22"/>
          <w:szCs w:val="22"/>
        </w:rPr>
        <w:t>hich recounted the findings of an online survey of 1,965 Australian men recruited from an online consulting service.</w:t>
      </w:r>
      <w:r w:rsidR="0039715E">
        <w:rPr>
          <w:rFonts w:asciiTheme="minorHAnsi" w:hAnsiTheme="minorHAnsi" w:cstheme="minorHAnsi"/>
          <w:sz w:val="22"/>
          <w:szCs w:val="22"/>
        </w:rPr>
        <w:t xml:space="preserve"> </w:t>
      </w:r>
      <w:r w:rsidRPr="007527F5">
        <w:rPr>
          <w:rFonts w:asciiTheme="minorHAnsi" w:hAnsiTheme="minorHAnsi" w:cstheme="minorHAnsi"/>
          <w:sz w:val="22"/>
          <w:szCs w:val="22"/>
        </w:rPr>
        <w:t>The survey found that:</w:t>
      </w:r>
    </w:p>
    <w:p w14:paraId="2814DA0D" w14:textId="77777777" w:rsidR="007527F5" w:rsidRPr="007527F5" w:rsidRDefault="007527F5" w:rsidP="007527F5">
      <w:pPr>
        <w:pStyle w:val="ListParagraph"/>
        <w:numPr>
          <w:ilvl w:val="0"/>
          <w:numId w:val="6"/>
        </w:numPr>
        <w:spacing w:line="312" w:lineRule="auto"/>
        <w:jc w:val="both"/>
        <w:rPr>
          <w:rFonts w:asciiTheme="minorHAnsi" w:hAnsiTheme="minorHAnsi" w:cstheme="minorHAnsi"/>
          <w:sz w:val="22"/>
          <w:szCs w:val="22"/>
        </w:rPr>
      </w:pPr>
      <w:r w:rsidRPr="007527F5">
        <w:rPr>
          <w:rFonts w:asciiTheme="minorHAnsi" w:hAnsiTheme="minorHAnsi" w:cstheme="minorHAnsi"/>
          <w:sz w:val="22"/>
          <w:szCs w:val="22"/>
        </w:rPr>
        <w:t>19.6% of survey respondents acknowledged sexual feelings towards people aged less than 18 years, and/or offended sexually against them.</w:t>
      </w:r>
    </w:p>
    <w:p w14:paraId="42FDF6EB" w14:textId="77777777" w:rsidR="007527F5" w:rsidRPr="007527F5" w:rsidRDefault="007527F5" w:rsidP="007527F5">
      <w:pPr>
        <w:pStyle w:val="ListParagraph"/>
        <w:numPr>
          <w:ilvl w:val="0"/>
          <w:numId w:val="6"/>
        </w:numPr>
        <w:spacing w:line="312" w:lineRule="auto"/>
        <w:jc w:val="both"/>
        <w:rPr>
          <w:rFonts w:asciiTheme="minorHAnsi" w:hAnsiTheme="minorHAnsi" w:cstheme="minorHAnsi"/>
          <w:sz w:val="22"/>
          <w:szCs w:val="22"/>
        </w:rPr>
      </w:pPr>
      <w:r w:rsidRPr="007527F5">
        <w:rPr>
          <w:rFonts w:asciiTheme="minorHAnsi" w:hAnsiTheme="minorHAnsi" w:cstheme="minorHAnsi"/>
          <w:sz w:val="22"/>
          <w:szCs w:val="22"/>
        </w:rPr>
        <w:t>9.4% had sexually offended against people aged less than 18.</w:t>
      </w:r>
    </w:p>
    <w:p w14:paraId="23F6792D" w14:textId="77777777" w:rsidR="007527F5" w:rsidRPr="007527F5" w:rsidRDefault="007527F5" w:rsidP="007527F5">
      <w:pPr>
        <w:pStyle w:val="ListParagraph"/>
        <w:numPr>
          <w:ilvl w:val="0"/>
          <w:numId w:val="6"/>
        </w:numPr>
        <w:spacing w:line="312" w:lineRule="auto"/>
        <w:jc w:val="both"/>
        <w:rPr>
          <w:rFonts w:asciiTheme="minorHAnsi" w:hAnsiTheme="minorHAnsi" w:cstheme="minorHAnsi"/>
          <w:sz w:val="22"/>
          <w:szCs w:val="22"/>
        </w:rPr>
      </w:pPr>
      <w:r w:rsidRPr="007527F5">
        <w:rPr>
          <w:rFonts w:asciiTheme="minorHAnsi" w:hAnsiTheme="minorHAnsi" w:cstheme="minorHAnsi"/>
          <w:sz w:val="22"/>
          <w:szCs w:val="22"/>
        </w:rPr>
        <w:t>15.1% had sexual feelings about people aged less than 18. (Though elsewhere (p. 30), the report states that 10.2% of respondents had sexual feelings towards people aged less than 18.</w:t>
      </w:r>
    </w:p>
    <w:p w14:paraId="41938B17" w14:textId="7D8906F2" w:rsidR="007527F5" w:rsidRPr="007527F5" w:rsidRDefault="007527F5" w:rsidP="007527F5">
      <w:pPr>
        <w:spacing w:line="312" w:lineRule="auto"/>
        <w:jc w:val="both"/>
        <w:rPr>
          <w:rFonts w:asciiTheme="minorHAnsi" w:hAnsiTheme="minorHAnsi" w:cstheme="minorHAnsi"/>
          <w:sz w:val="22"/>
          <w:szCs w:val="22"/>
        </w:rPr>
      </w:pPr>
      <w:r w:rsidRPr="007527F5">
        <w:rPr>
          <w:rFonts w:asciiTheme="minorHAnsi" w:hAnsiTheme="minorHAnsi" w:cstheme="minorHAnsi"/>
          <w:sz w:val="22"/>
          <w:szCs w:val="22"/>
        </w:rPr>
        <w:t>Asked about younger children, 4% of respondents affirmed that, if no-one could find out, they would have sex with children aged less than 10 years of age, and 5.7% with children aged 12 to 14 years.</w:t>
      </w:r>
    </w:p>
    <w:p w14:paraId="350E79AB" w14:textId="4A04194D" w:rsidR="00BF4130" w:rsidRPr="00C666B3" w:rsidRDefault="00BF4130" w:rsidP="00BF4130">
      <w:pPr>
        <w:tabs>
          <w:tab w:val="left" w:pos="360"/>
        </w:tabs>
        <w:spacing w:beforeLines="60" w:before="144" w:line="360" w:lineRule="auto"/>
        <w:jc w:val="both"/>
        <w:rPr>
          <w:rFonts w:asciiTheme="minorHAnsi" w:hAnsiTheme="minorHAnsi" w:cstheme="minorHAnsi"/>
          <w:b/>
          <w:bCs/>
          <w:sz w:val="22"/>
          <w:szCs w:val="22"/>
          <w:lang w:val="en-AU"/>
        </w:rPr>
      </w:pPr>
      <w:r w:rsidRPr="00C666B3">
        <w:rPr>
          <w:rFonts w:asciiTheme="minorHAnsi" w:hAnsiTheme="minorHAnsi" w:cstheme="minorHAnsi"/>
          <w:b/>
          <w:bCs/>
          <w:sz w:val="22"/>
          <w:szCs w:val="22"/>
          <w:lang w:val="en-AU"/>
        </w:rPr>
        <w:t>Sexual coercion</w:t>
      </w:r>
    </w:p>
    <w:p w14:paraId="075E654C" w14:textId="77777777" w:rsidR="00BF4130" w:rsidRPr="00C666B3" w:rsidRDefault="00BF4130" w:rsidP="00BF4130">
      <w:pPr>
        <w:spacing w:line="336" w:lineRule="auto"/>
        <w:jc w:val="both"/>
        <w:rPr>
          <w:rFonts w:asciiTheme="minorHAnsi" w:hAnsiTheme="minorHAnsi" w:cstheme="minorHAnsi"/>
          <w:sz w:val="22"/>
          <w:szCs w:val="22"/>
          <w:lang w:val="en-AU"/>
        </w:rPr>
      </w:pPr>
      <w:r>
        <w:rPr>
          <w:rFonts w:asciiTheme="minorHAnsi" w:hAnsiTheme="minorHAnsi" w:cstheme="minorHAnsi"/>
          <w:sz w:val="22"/>
          <w:szCs w:val="22"/>
          <w:lang w:val="en-AU"/>
        </w:rPr>
        <w:t xml:space="preserve">A related topic is </w:t>
      </w:r>
      <w:r w:rsidRPr="00C666B3">
        <w:rPr>
          <w:rFonts w:asciiTheme="minorHAnsi" w:hAnsiTheme="minorHAnsi" w:cstheme="minorHAnsi"/>
          <w:sz w:val="22"/>
          <w:szCs w:val="22"/>
          <w:lang w:val="en-AU"/>
        </w:rPr>
        <w:t xml:space="preserve">being compelled or intimidated into participating in sexual activity, </w:t>
      </w:r>
      <w:r>
        <w:rPr>
          <w:rFonts w:asciiTheme="minorHAnsi" w:hAnsiTheme="minorHAnsi" w:cstheme="minorHAnsi"/>
          <w:sz w:val="22"/>
          <w:szCs w:val="22"/>
          <w:lang w:val="en-AU"/>
        </w:rPr>
        <w:t xml:space="preserve">often termed ‘sexual coercion’. De </w:t>
      </w:r>
      <w:proofErr w:type="spellStart"/>
      <w:r>
        <w:rPr>
          <w:rFonts w:asciiTheme="minorHAnsi" w:hAnsiTheme="minorHAnsi" w:cstheme="minorHAnsi"/>
          <w:sz w:val="22"/>
          <w:szCs w:val="22"/>
          <w:lang w:val="en-AU"/>
        </w:rPr>
        <w:t>Vissier</w:t>
      </w:r>
      <w:proofErr w:type="spellEnd"/>
      <w:r>
        <w:rPr>
          <w:rFonts w:asciiTheme="minorHAnsi" w:hAnsiTheme="minorHAnsi" w:cstheme="minorHAnsi"/>
          <w:sz w:val="22"/>
          <w:szCs w:val="22"/>
          <w:lang w:val="en-AU"/>
        </w:rPr>
        <w:t xml:space="preserve"> et al (2020)</w:t>
      </w:r>
      <w:r w:rsidRPr="00C666B3">
        <w:rPr>
          <w:rFonts w:asciiTheme="minorHAnsi" w:hAnsiTheme="minorHAnsi" w:cstheme="minorHAnsi"/>
          <w:sz w:val="22"/>
          <w:szCs w:val="22"/>
          <w:lang w:val="en-AU"/>
        </w:rPr>
        <w:t xml:space="preserve"> reports on the findings of interviews with a representative sample of </w:t>
      </w:r>
      <w:r>
        <w:rPr>
          <w:rFonts w:asciiTheme="minorHAnsi" w:hAnsiTheme="minorHAnsi" w:cstheme="minorHAnsi"/>
          <w:sz w:val="22"/>
          <w:szCs w:val="22"/>
          <w:lang w:val="en-AU"/>
        </w:rPr>
        <w:t>over 20,000</w:t>
      </w:r>
      <w:r w:rsidRPr="00C666B3">
        <w:rPr>
          <w:rFonts w:asciiTheme="minorHAnsi" w:hAnsiTheme="minorHAnsi" w:cstheme="minorHAnsi"/>
          <w:sz w:val="22"/>
          <w:szCs w:val="22"/>
          <w:lang w:val="en-AU"/>
        </w:rPr>
        <w:t xml:space="preserve"> </w:t>
      </w:r>
      <w:r>
        <w:rPr>
          <w:rFonts w:asciiTheme="minorHAnsi" w:hAnsiTheme="minorHAnsi" w:cstheme="minorHAnsi"/>
          <w:sz w:val="22"/>
          <w:szCs w:val="22"/>
          <w:lang w:val="en-AU"/>
        </w:rPr>
        <w:t>Australians</w:t>
      </w:r>
      <w:r w:rsidRPr="00C666B3">
        <w:rPr>
          <w:rFonts w:asciiTheme="minorHAnsi" w:hAnsiTheme="minorHAnsi" w:cstheme="minorHAnsi"/>
          <w:sz w:val="22"/>
          <w:szCs w:val="22"/>
          <w:lang w:val="en-AU"/>
        </w:rPr>
        <w:t xml:space="preserve"> aged 16–59 years, in which </w:t>
      </w:r>
      <w:r>
        <w:rPr>
          <w:rFonts w:asciiTheme="minorHAnsi" w:hAnsiTheme="minorHAnsi" w:cstheme="minorHAnsi"/>
          <w:sz w:val="22"/>
          <w:szCs w:val="22"/>
          <w:lang w:val="en-AU"/>
        </w:rPr>
        <w:t xml:space="preserve">the experience of </w:t>
      </w:r>
      <w:r w:rsidRPr="00C666B3">
        <w:rPr>
          <w:rFonts w:asciiTheme="minorHAnsi" w:hAnsiTheme="minorHAnsi" w:cstheme="minorHAnsi"/>
          <w:sz w:val="22"/>
          <w:szCs w:val="22"/>
          <w:lang w:val="en-AU"/>
        </w:rPr>
        <w:t xml:space="preserve">sexual coercion at some time their lifetimes </w:t>
      </w:r>
      <w:proofErr w:type="gramStart"/>
      <w:r w:rsidRPr="00C666B3">
        <w:rPr>
          <w:rFonts w:asciiTheme="minorHAnsi" w:hAnsiTheme="minorHAnsi" w:cstheme="minorHAnsi"/>
          <w:sz w:val="22"/>
          <w:szCs w:val="22"/>
          <w:lang w:val="en-AU"/>
        </w:rPr>
        <w:t>was</w:t>
      </w:r>
      <w:proofErr w:type="gramEnd"/>
      <w:r w:rsidRPr="00C666B3">
        <w:rPr>
          <w:rFonts w:asciiTheme="minorHAnsi" w:hAnsiTheme="minorHAnsi" w:cstheme="minorHAnsi"/>
          <w:sz w:val="22"/>
          <w:szCs w:val="22"/>
          <w:lang w:val="en-AU"/>
        </w:rPr>
        <w:t xml:space="preserve"> reported by 4.8% of men and 2</w:t>
      </w:r>
      <w:r>
        <w:rPr>
          <w:rFonts w:asciiTheme="minorHAnsi" w:hAnsiTheme="minorHAnsi" w:cstheme="minorHAnsi"/>
          <w:sz w:val="22"/>
          <w:szCs w:val="22"/>
          <w:lang w:val="en-AU"/>
        </w:rPr>
        <w:t>2.4</w:t>
      </w:r>
      <w:r w:rsidRPr="00C666B3">
        <w:rPr>
          <w:rFonts w:asciiTheme="minorHAnsi" w:hAnsiTheme="minorHAnsi" w:cstheme="minorHAnsi"/>
          <w:sz w:val="22"/>
          <w:szCs w:val="22"/>
          <w:lang w:val="en-AU"/>
        </w:rPr>
        <w:t>% of women, and by 3% of men and 10% of women at or before the age of 16 years. Consequences of such experienced included psychosocial distress, high levels of anxiety about sex, with few discussing these experiences with a professional.</w:t>
      </w:r>
      <w:r>
        <w:rPr>
          <w:rFonts w:asciiTheme="minorHAnsi" w:hAnsiTheme="minorHAnsi" w:cstheme="minorHAnsi"/>
          <w:sz w:val="22"/>
          <w:szCs w:val="22"/>
          <w:lang w:val="en-AU"/>
        </w:rPr>
        <w:t xml:space="preserve"> These findings are similar to those reported in an earlier inquiry (De </w:t>
      </w:r>
      <w:proofErr w:type="spellStart"/>
      <w:r>
        <w:rPr>
          <w:rFonts w:asciiTheme="minorHAnsi" w:hAnsiTheme="minorHAnsi" w:cstheme="minorHAnsi"/>
          <w:sz w:val="22"/>
          <w:szCs w:val="22"/>
          <w:lang w:val="en-AU"/>
        </w:rPr>
        <w:t>Vissier</w:t>
      </w:r>
      <w:proofErr w:type="spellEnd"/>
      <w:r>
        <w:rPr>
          <w:rFonts w:asciiTheme="minorHAnsi" w:hAnsiTheme="minorHAnsi" w:cstheme="minorHAnsi"/>
          <w:sz w:val="22"/>
          <w:szCs w:val="22"/>
          <w:lang w:val="en-AU"/>
        </w:rPr>
        <w:t xml:space="preserve"> et al, 2003).</w:t>
      </w:r>
    </w:p>
    <w:p w14:paraId="5CBE454A" w14:textId="124E6D12" w:rsidR="0091465B" w:rsidRPr="00405976" w:rsidRDefault="0091465B" w:rsidP="00CB721D">
      <w:pPr>
        <w:spacing w:before="240" w:after="60"/>
        <w:jc w:val="both"/>
        <w:rPr>
          <w:rFonts w:asciiTheme="minorHAnsi" w:hAnsiTheme="minorHAnsi" w:cstheme="minorHAnsi"/>
          <w:b/>
          <w:sz w:val="22"/>
          <w:szCs w:val="22"/>
        </w:rPr>
      </w:pPr>
      <w:r w:rsidRPr="00405976">
        <w:rPr>
          <w:rFonts w:asciiTheme="minorHAnsi" w:hAnsiTheme="minorHAnsi" w:cstheme="minorHAnsi"/>
          <w:b/>
          <w:sz w:val="22"/>
          <w:szCs w:val="22"/>
        </w:rPr>
        <w:t>Gendered Drivers of Family Violence</w:t>
      </w:r>
    </w:p>
    <w:p w14:paraId="0A7505C6" w14:textId="64A068CF" w:rsidR="0091465B" w:rsidRDefault="0091465B" w:rsidP="00D36120">
      <w:pPr>
        <w:spacing w:line="360" w:lineRule="auto"/>
        <w:jc w:val="both"/>
        <w:rPr>
          <w:rFonts w:asciiTheme="minorHAnsi" w:hAnsiTheme="minorHAnsi" w:cstheme="minorHAnsi"/>
          <w:sz w:val="22"/>
          <w:szCs w:val="22"/>
          <w:lang w:val="en-AU"/>
        </w:rPr>
      </w:pPr>
      <w:r w:rsidRPr="00D7100C">
        <w:rPr>
          <w:rFonts w:asciiTheme="minorHAnsi" w:hAnsiTheme="minorHAnsi" w:cstheme="minorHAnsi"/>
          <w:sz w:val="22"/>
          <w:szCs w:val="22"/>
          <w:lang w:val="en-AU"/>
        </w:rPr>
        <w:t xml:space="preserve">Attitudes, beliefs and behaviours which are widespread in our society contribute to </w:t>
      </w:r>
      <w:r w:rsidR="0019655D">
        <w:rPr>
          <w:rFonts w:asciiTheme="minorHAnsi" w:hAnsiTheme="minorHAnsi" w:cstheme="minorHAnsi"/>
          <w:sz w:val="22"/>
          <w:szCs w:val="22"/>
          <w:lang w:val="en-AU"/>
        </w:rPr>
        <w:t>harassment and</w:t>
      </w:r>
      <w:r w:rsidRPr="00D7100C">
        <w:rPr>
          <w:rFonts w:asciiTheme="minorHAnsi" w:hAnsiTheme="minorHAnsi" w:cstheme="minorHAnsi"/>
          <w:sz w:val="22"/>
          <w:szCs w:val="22"/>
          <w:lang w:val="en-AU"/>
        </w:rPr>
        <w:t xml:space="preserve"> violence</w:t>
      </w:r>
      <w:r w:rsidR="0019655D">
        <w:rPr>
          <w:rFonts w:asciiTheme="minorHAnsi" w:hAnsiTheme="minorHAnsi" w:cstheme="minorHAnsi"/>
          <w:sz w:val="22"/>
          <w:szCs w:val="22"/>
          <w:lang w:val="en-AU"/>
        </w:rPr>
        <w:t xml:space="preserve"> against women</w:t>
      </w:r>
      <w:r w:rsidRPr="00D7100C">
        <w:rPr>
          <w:rFonts w:asciiTheme="minorHAnsi" w:hAnsiTheme="minorHAnsi" w:cstheme="minorHAnsi"/>
          <w:sz w:val="22"/>
          <w:szCs w:val="22"/>
          <w:lang w:val="en-AU"/>
        </w:rPr>
        <w:t>. The report ‘Change the Story’ by Our Watch explored this issue in detail, identifying four gender-related circumstances which cause family violence or aggravate the severity of such crimes:</w:t>
      </w:r>
    </w:p>
    <w:p w14:paraId="3D62B72A" w14:textId="01100A94" w:rsidR="0091465B" w:rsidRPr="00D7100C" w:rsidRDefault="00BF4130" w:rsidP="00D36120">
      <w:pPr>
        <w:spacing w:line="360" w:lineRule="auto"/>
        <w:jc w:val="both"/>
        <w:rPr>
          <w:rFonts w:asciiTheme="minorHAnsi" w:hAnsiTheme="minorHAnsi" w:cstheme="minorHAnsi"/>
          <w:sz w:val="22"/>
          <w:szCs w:val="22"/>
          <w:lang w:val="en-AU"/>
        </w:rPr>
      </w:pPr>
      <w:r w:rsidRPr="00D7100C">
        <w:rPr>
          <w:rFonts w:asciiTheme="minorHAnsi" w:hAnsiTheme="minorHAnsi" w:cstheme="minorHAnsi"/>
          <w:noProof/>
          <w:sz w:val="22"/>
          <w:szCs w:val="22"/>
          <w:lang w:val="en-AU"/>
        </w:rPr>
        <w:lastRenderedPageBreak/>
        <w:drawing>
          <wp:anchor distT="0" distB="0" distL="114300" distR="114300" simplePos="0" relativeHeight="251674624" behindDoc="1" locked="0" layoutInCell="1" allowOverlap="1" wp14:anchorId="2B7E6475" wp14:editId="2D52183A">
            <wp:simplePos x="0" y="0"/>
            <wp:positionH relativeFrom="margin">
              <wp:posOffset>3304540</wp:posOffset>
            </wp:positionH>
            <wp:positionV relativeFrom="paragraph">
              <wp:posOffset>209232</wp:posOffset>
            </wp:positionV>
            <wp:extent cx="2804795" cy="2312035"/>
            <wp:effectExtent l="0" t="0" r="0" b="0"/>
            <wp:wrapTight wrapText="bothSides">
              <wp:wrapPolygon edited="0">
                <wp:start x="0" y="0"/>
                <wp:lineTo x="0" y="21357"/>
                <wp:lineTo x="21419" y="21357"/>
                <wp:lineTo x="2141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24">
                      <a:extLst>
                        <a:ext uri="{28A0092B-C50C-407E-A947-70E740481C1C}">
                          <a14:useLocalDpi xmlns:a14="http://schemas.microsoft.com/office/drawing/2010/main" val="0"/>
                        </a:ext>
                      </a:extLst>
                    </a:blip>
                    <a:srcRect t="8584" r="7166"/>
                    <a:stretch/>
                  </pic:blipFill>
                  <pic:spPr bwMode="auto">
                    <a:xfrm>
                      <a:off x="0" y="0"/>
                      <a:ext cx="2804795" cy="231203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1465B" w:rsidRPr="00D7100C">
        <w:rPr>
          <w:rFonts w:asciiTheme="minorHAnsi" w:hAnsiTheme="minorHAnsi" w:cstheme="minorHAnsi"/>
          <w:i/>
          <w:iCs/>
          <w:sz w:val="22"/>
          <w:szCs w:val="22"/>
          <w:lang w:val="en-AU"/>
        </w:rPr>
        <w:t>Rigid gender roles and stereotyped constructions of masculinity and femininity</w:t>
      </w:r>
      <w:r w:rsidR="0091465B" w:rsidRPr="00D7100C">
        <w:rPr>
          <w:rFonts w:asciiTheme="minorHAnsi" w:hAnsiTheme="minorHAnsi" w:cstheme="minorHAnsi"/>
          <w:sz w:val="22"/>
          <w:szCs w:val="22"/>
          <w:lang w:val="en-AU"/>
        </w:rPr>
        <w:t xml:space="preserve">: men with </w:t>
      </w:r>
      <w:r w:rsidR="0019655D">
        <w:rPr>
          <w:rFonts w:asciiTheme="minorHAnsi" w:hAnsiTheme="minorHAnsi" w:cstheme="minorHAnsi"/>
          <w:sz w:val="22"/>
          <w:szCs w:val="22"/>
          <w:lang w:val="en-AU"/>
        </w:rPr>
        <w:t>conventional attitudes about the superior status and entitlement of males, and the differing roles of women and men are more likely than others to commit violence against women</w:t>
      </w:r>
      <w:r w:rsidR="0091465B" w:rsidRPr="00D7100C">
        <w:rPr>
          <w:rFonts w:asciiTheme="minorHAnsi" w:hAnsiTheme="minorHAnsi" w:cstheme="minorHAnsi"/>
          <w:sz w:val="22"/>
          <w:szCs w:val="22"/>
          <w:lang w:val="en-AU"/>
        </w:rPr>
        <w:t>. A striking illustration of this connection was supplied by the findings of the 2013 VicHealth Community Attitudes Towards Violence Against Women survey</w:t>
      </w:r>
      <w:r w:rsidR="0019655D">
        <w:rPr>
          <w:rFonts w:asciiTheme="minorHAnsi" w:hAnsiTheme="minorHAnsi" w:cstheme="minorHAnsi"/>
          <w:sz w:val="22"/>
          <w:szCs w:val="22"/>
          <w:lang w:val="en-AU"/>
        </w:rPr>
        <w:t xml:space="preserve">, of </w:t>
      </w:r>
      <w:r w:rsidR="0091465B" w:rsidRPr="00D7100C">
        <w:rPr>
          <w:rFonts w:asciiTheme="minorHAnsi" w:hAnsiTheme="minorHAnsi" w:cstheme="minorHAnsi"/>
          <w:sz w:val="22"/>
          <w:szCs w:val="22"/>
          <w:lang w:val="en-AU"/>
        </w:rPr>
        <w:t xml:space="preserve">17,500 Australians aged 16 and over. </w:t>
      </w:r>
      <w:r w:rsidR="0019655D">
        <w:rPr>
          <w:rFonts w:asciiTheme="minorHAnsi" w:hAnsiTheme="minorHAnsi" w:cstheme="minorHAnsi"/>
          <w:sz w:val="22"/>
          <w:szCs w:val="22"/>
          <w:lang w:val="en-AU"/>
        </w:rPr>
        <w:t xml:space="preserve">The survey findings revealed </w:t>
      </w:r>
      <w:r w:rsidR="0091465B" w:rsidRPr="00D7100C">
        <w:rPr>
          <w:rFonts w:asciiTheme="minorHAnsi" w:hAnsiTheme="minorHAnsi" w:cstheme="minorHAnsi"/>
          <w:sz w:val="22"/>
          <w:szCs w:val="22"/>
          <w:lang w:val="en-AU"/>
        </w:rPr>
        <w:t xml:space="preserve">attitudinal support for violence against women </w:t>
      </w:r>
      <w:r w:rsidR="0019655D">
        <w:rPr>
          <w:rFonts w:asciiTheme="minorHAnsi" w:hAnsiTheme="minorHAnsi" w:cstheme="minorHAnsi"/>
          <w:sz w:val="22"/>
          <w:szCs w:val="22"/>
          <w:lang w:val="en-AU"/>
        </w:rPr>
        <w:t>among</w:t>
      </w:r>
      <w:r w:rsidR="0091465B" w:rsidRPr="00D7100C">
        <w:rPr>
          <w:rFonts w:asciiTheme="minorHAnsi" w:hAnsiTheme="minorHAnsi" w:cstheme="minorHAnsi"/>
          <w:sz w:val="22"/>
          <w:szCs w:val="22"/>
          <w:lang w:val="en-AU"/>
        </w:rPr>
        <w:t xml:space="preserve"> 58% of respondents with low support for gender equity, compared with just 7% of those with high support for gender equity (diagram, left)</w:t>
      </w:r>
      <w:r w:rsidR="009D587C">
        <w:rPr>
          <w:rFonts w:asciiTheme="minorHAnsi" w:hAnsiTheme="minorHAnsi" w:cstheme="minorHAnsi"/>
          <w:sz w:val="22"/>
          <w:szCs w:val="22"/>
          <w:lang w:val="en-AU"/>
        </w:rPr>
        <w:t xml:space="preserve"> (</w:t>
      </w:r>
      <w:r w:rsidR="009D587C">
        <w:rPr>
          <w:rFonts w:asciiTheme="minorHAnsi" w:hAnsiTheme="minorHAnsi" w:cstheme="minorHAnsi"/>
          <w:color w:val="000000" w:themeColor="text1"/>
          <w:sz w:val="22"/>
          <w:szCs w:val="22"/>
        </w:rPr>
        <w:t>VicHealth, 2014)</w:t>
      </w:r>
      <w:r w:rsidR="0091465B" w:rsidRPr="00D7100C">
        <w:rPr>
          <w:rFonts w:asciiTheme="minorHAnsi" w:hAnsiTheme="minorHAnsi" w:cstheme="minorHAnsi"/>
          <w:sz w:val="22"/>
          <w:szCs w:val="22"/>
          <w:lang w:val="en-AU"/>
        </w:rPr>
        <w:t>.</w:t>
      </w:r>
    </w:p>
    <w:p w14:paraId="0F1993A9" w14:textId="28A5F0B5" w:rsidR="0091465B" w:rsidRPr="00D7100C" w:rsidRDefault="008366C0" w:rsidP="00D36120">
      <w:pPr>
        <w:spacing w:line="360" w:lineRule="auto"/>
        <w:jc w:val="both"/>
        <w:rPr>
          <w:rFonts w:asciiTheme="minorHAnsi" w:hAnsiTheme="minorHAnsi" w:cstheme="minorHAnsi"/>
          <w:sz w:val="22"/>
          <w:szCs w:val="22"/>
          <w:lang w:val="en-AU"/>
        </w:rPr>
      </w:pPr>
      <w:r>
        <w:rPr>
          <w:rFonts w:asciiTheme="minorHAnsi" w:hAnsiTheme="minorHAnsi" w:cstheme="minorHAnsi"/>
          <w:sz w:val="22"/>
          <w:szCs w:val="22"/>
          <w:lang w:val="en-AU"/>
        </w:rPr>
        <w:t xml:space="preserve">The authors of ‘Change the Story’ recommend that efforts be made to encourage all people - especially children and young adults – to repudiate conventional ideas about male superiority, control and status; adopt values and personal identities that embody respect and equality between women and men; and to share domestic and child-rearing responsibilities </w:t>
      </w:r>
      <w:r w:rsidR="0091465B" w:rsidRPr="00D7100C">
        <w:rPr>
          <w:rFonts w:asciiTheme="minorHAnsi" w:hAnsiTheme="minorHAnsi" w:cstheme="minorHAnsi"/>
          <w:sz w:val="22"/>
          <w:szCs w:val="22"/>
          <w:lang w:val="en-AU"/>
        </w:rPr>
        <w:t>(</w:t>
      </w:r>
      <w:r w:rsidR="009D587C">
        <w:rPr>
          <w:rFonts w:asciiTheme="minorHAnsi" w:hAnsiTheme="minorHAnsi" w:cstheme="minorHAnsi"/>
          <w:sz w:val="22"/>
          <w:szCs w:val="22"/>
          <w:lang w:val="en-AU"/>
        </w:rPr>
        <w:t>Our Watch, 2015</w:t>
      </w:r>
      <w:r w:rsidR="0091465B" w:rsidRPr="00D7100C">
        <w:rPr>
          <w:rFonts w:asciiTheme="minorHAnsi" w:hAnsiTheme="minorHAnsi" w:cstheme="minorHAnsi"/>
          <w:sz w:val="22"/>
          <w:szCs w:val="22"/>
          <w:lang w:val="en-AU"/>
        </w:rPr>
        <w:t>).</w:t>
      </w:r>
    </w:p>
    <w:p w14:paraId="0A240BA8" w14:textId="227648B3" w:rsidR="0091465B" w:rsidRPr="00D7100C" w:rsidRDefault="0091465B" w:rsidP="00D36120">
      <w:pPr>
        <w:spacing w:line="360" w:lineRule="auto"/>
        <w:jc w:val="both"/>
        <w:rPr>
          <w:rFonts w:asciiTheme="minorHAnsi" w:hAnsiTheme="minorHAnsi" w:cstheme="minorHAnsi"/>
          <w:sz w:val="22"/>
          <w:szCs w:val="22"/>
          <w:lang w:val="en-AU"/>
        </w:rPr>
      </w:pPr>
      <w:r w:rsidRPr="00D7100C">
        <w:rPr>
          <w:rFonts w:asciiTheme="minorHAnsi" w:hAnsiTheme="minorHAnsi" w:cstheme="minorHAnsi"/>
          <w:i/>
          <w:iCs/>
          <w:sz w:val="22"/>
          <w:szCs w:val="22"/>
          <w:lang w:val="en-AU"/>
        </w:rPr>
        <w:t>Men’s control of decision-making and limits to women’s independence in public and private life</w:t>
      </w:r>
      <w:r w:rsidRPr="00D7100C">
        <w:rPr>
          <w:rFonts w:asciiTheme="minorHAnsi" w:hAnsiTheme="minorHAnsi" w:cstheme="minorHAnsi"/>
          <w:sz w:val="22"/>
          <w:szCs w:val="22"/>
          <w:lang w:val="en-AU"/>
        </w:rPr>
        <w:t xml:space="preserve">: Men who </w:t>
      </w:r>
      <w:r w:rsidR="008366C0">
        <w:rPr>
          <w:rFonts w:asciiTheme="minorHAnsi" w:hAnsiTheme="minorHAnsi" w:cstheme="minorHAnsi"/>
          <w:sz w:val="22"/>
          <w:szCs w:val="22"/>
          <w:lang w:val="en-AU"/>
        </w:rPr>
        <w:t>feel</w:t>
      </w:r>
      <w:r w:rsidRPr="00D7100C">
        <w:rPr>
          <w:rFonts w:asciiTheme="minorHAnsi" w:hAnsiTheme="minorHAnsi" w:cstheme="minorHAnsi"/>
          <w:sz w:val="22"/>
          <w:szCs w:val="22"/>
          <w:lang w:val="en-AU"/>
        </w:rPr>
        <w:t xml:space="preserve"> entitled to control women </w:t>
      </w:r>
      <w:r w:rsidR="008366C0">
        <w:rPr>
          <w:rFonts w:asciiTheme="minorHAnsi" w:hAnsiTheme="minorHAnsi" w:cstheme="minorHAnsi"/>
          <w:sz w:val="22"/>
          <w:szCs w:val="22"/>
          <w:lang w:val="en-AU"/>
        </w:rPr>
        <w:t>or consider them to be of lower status,</w:t>
      </w:r>
      <w:r w:rsidRPr="00D7100C">
        <w:rPr>
          <w:rFonts w:asciiTheme="minorHAnsi" w:hAnsiTheme="minorHAnsi" w:cstheme="minorHAnsi"/>
          <w:sz w:val="22"/>
          <w:szCs w:val="22"/>
          <w:lang w:val="en-AU"/>
        </w:rPr>
        <w:t xml:space="preserve"> are more likely to inflict violence upon them</w:t>
      </w:r>
      <w:r w:rsidR="008366C0">
        <w:rPr>
          <w:rFonts w:asciiTheme="minorHAnsi" w:hAnsiTheme="minorHAnsi" w:cstheme="minorHAnsi"/>
          <w:sz w:val="22"/>
          <w:szCs w:val="22"/>
          <w:lang w:val="en-AU"/>
        </w:rPr>
        <w:t>, and, where they control women through financial means, fear, isolation or other means, may often do so</w:t>
      </w:r>
      <w:r w:rsidRPr="00D7100C">
        <w:rPr>
          <w:rFonts w:asciiTheme="minorHAnsi" w:hAnsiTheme="minorHAnsi" w:cstheme="minorHAnsi"/>
          <w:sz w:val="22"/>
          <w:szCs w:val="22"/>
          <w:lang w:val="en-AU"/>
        </w:rPr>
        <w:t xml:space="preserve"> with impunity.</w:t>
      </w:r>
      <w:r w:rsidR="008366C0">
        <w:rPr>
          <w:rFonts w:asciiTheme="minorHAnsi" w:hAnsiTheme="minorHAnsi" w:cstheme="minorHAnsi"/>
          <w:sz w:val="22"/>
          <w:szCs w:val="22"/>
          <w:lang w:val="en-AU"/>
        </w:rPr>
        <w:t xml:space="preserve"> The report urges that more women be provided with the means to obtain paid employment, thereby placing financial</w:t>
      </w:r>
      <w:r w:rsidRPr="00D7100C">
        <w:rPr>
          <w:rFonts w:asciiTheme="minorHAnsi" w:hAnsiTheme="minorHAnsi" w:cstheme="minorHAnsi"/>
          <w:sz w:val="22"/>
          <w:szCs w:val="22"/>
          <w:lang w:val="en-AU"/>
        </w:rPr>
        <w:t xml:space="preserve"> security</w:t>
      </w:r>
      <w:r w:rsidR="008366C0">
        <w:rPr>
          <w:rFonts w:asciiTheme="minorHAnsi" w:hAnsiTheme="minorHAnsi" w:cstheme="minorHAnsi"/>
          <w:sz w:val="22"/>
          <w:szCs w:val="22"/>
          <w:lang w:val="en-AU"/>
        </w:rPr>
        <w:t xml:space="preserve"> and</w:t>
      </w:r>
      <w:r w:rsidRPr="00D7100C">
        <w:rPr>
          <w:rFonts w:asciiTheme="minorHAnsi" w:hAnsiTheme="minorHAnsi" w:cstheme="minorHAnsi"/>
          <w:sz w:val="22"/>
          <w:szCs w:val="22"/>
          <w:lang w:val="en-AU"/>
        </w:rPr>
        <w:t xml:space="preserve"> independence</w:t>
      </w:r>
      <w:r w:rsidR="008366C0">
        <w:rPr>
          <w:rFonts w:asciiTheme="minorHAnsi" w:hAnsiTheme="minorHAnsi" w:cstheme="minorHAnsi"/>
          <w:sz w:val="22"/>
          <w:szCs w:val="22"/>
          <w:lang w:val="en-AU"/>
        </w:rPr>
        <w:t xml:space="preserve"> within their reach;</w:t>
      </w:r>
      <w:r w:rsidRPr="00D7100C">
        <w:rPr>
          <w:rFonts w:asciiTheme="minorHAnsi" w:hAnsiTheme="minorHAnsi" w:cstheme="minorHAnsi"/>
          <w:sz w:val="22"/>
          <w:szCs w:val="22"/>
          <w:lang w:val="en-AU"/>
        </w:rPr>
        <w:t xml:space="preserve"> </w:t>
      </w:r>
      <w:r w:rsidR="008366C0">
        <w:rPr>
          <w:rFonts w:asciiTheme="minorHAnsi" w:hAnsiTheme="minorHAnsi" w:cstheme="minorHAnsi"/>
          <w:sz w:val="22"/>
          <w:szCs w:val="22"/>
          <w:lang w:val="en-AU"/>
        </w:rPr>
        <w:t>barriers to their</w:t>
      </w:r>
      <w:r w:rsidRPr="00D7100C">
        <w:rPr>
          <w:rFonts w:asciiTheme="minorHAnsi" w:hAnsiTheme="minorHAnsi" w:cstheme="minorHAnsi"/>
          <w:sz w:val="22"/>
          <w:szCs w:val="22"/>
          <w:lang w:val="en-AU"/>
        </w:rPr>
        <w:t xml:space="preserve"> participation and decision-making in public life</w:t>
      </w:r>
      <w:r w:rsidR="008366C0">
        <w:rPr>
          <w:rFonts w:asciiTheme="minorHAnsi" w:hAnsiTheme="minorHAnsi" w:cstheme="minorHAnsi"/>
          <w:sz w:val="22"/>
          <w:szCs w:val="22"/>
          <w:lang w:val="en-AU"/>
        </w:rPr>
        <w:t xml:space="preserve"> be removed</w:t>
      </w:r>
      <w:r w:rsidRPr="00D7100C">
        <w:rPr>
          <w:rFonts w:asciiTheme="minorHAnsi" w:hAnsiTheme="minorHAnsi" w:cstheme="minorHAnsi"/>
          <w:sz w:val="22"/>
          <w:szCs w:val="22"/>
          <w:lang w:val="en-AU"/>
        </w:rPr>
        <w:t>;</w:t>
      </w:r>
      <w:r w:rsidR="008366C0">
        <w:rPr>
          <w:rFonts w:asciiTheme="minorHAnsi" w:hAnsiTheme="minorHAnsi" w:cstheme="minorHAnsi"/>
          <w:sz w:val="22"/>
          <w:szCs w:val="22"/>
          <w:lang w:val="en-AU"/>
        </w:rPr>
        <w:t xml:space="preserve"> aggressive and dominating behaviour by men at work and in</w:t>
      </w:r>
      <w:r w:rsidRPr="00D7100C">
        <w:rPr>
          <w:rFonts w:asciiTheme="minorHAnsi" w:hAnsiTheme="minorHAnsi" w:cstheme="minorHAnsi"/>
          <w:sz w:val="22"/>
          <w:szCs w:val="22"/>
          <w:lang w:val="en-AU"/>
        </w:rPr>
        <w:t xml:space="preserve"> relationships</w:t>
      </w:r>
      <w:r w:rsidR="008366C0">
        <w:rPr>
          <w:rFonts w:asciiTheme="minorHAnsi" w:hAnsiTheme="minorHAnsi" w:cstheme="minorHAnsi"/>
          <w:sz w:val="22"/>
          <w:szCs w:val="22"/>
          <w:lang w:val="en-AU"/>
        </w:rPr>
        <w:t xml:space="preserve"> be opposed</w:t>
      </w:r>
      <w:r w:rsidRPr="00D7100C">
        <w:rPr>
          <w:rFonts w:asciiTheme="minorHAnsi" w:hAnsiTheme="minorHAnsi" w:cstheme="minorHAnsi"/>
          <w:sz w:val="22"/>
          <w:szCs w:val="22"/>
          <w:lang w:val="en-AU"/>
        </w:rPr>
        <w:t xml:space="preserve">; </w:t>
      </w:r>
      <w:r w:rsidR="008366C0">
        <w:rPr>
          <w:rFonts w:asciiTheme="minorHAnsi" w:hAnsiTheme="minorHAnsi" w:cstheme="minorHAnsi"/>
          <w:sz w:val="22"/>
          <w:szCs w:val="22"/>
          <w:lang w:val="en-AU"/>
        </w:rPr>
        <w:t xml:space="preserve">and opportunities be fostered for women to </w:t>
      </w:r>
      <w:r w:rsidR="00405976">
        <w:rPr>
          <w:rFonts w:asciiTheme="minorHAnsi" w:hAnsiTheme="minorHAnsi" w:cstheme="minorHAnsi"/>
          <w:sz w:val="22"/>
          <w:szCs w:val="22"/>
          <w:lang w:val="en-AU"/>
        </w:rPr>
        <w:t>come together</w:t>
      </w:r>
      <w:r w:rsidR="008366C0">
        <w:rPr>
          <w:rFonts w:asciiTheme="minorHAnsi" w:hAnsiTheme="minorHAnsi" w:cstheme="minorHAnsi"/>
          <w:sz w:val="22"/>
          <w:szCs w:val="22"/>
          <w:lang w:val="en-AU"/>
        </w:rPr>
        <w:t xml:space="preserve"> to socialise, provide mutual support and advocate for causes of common concern</w:t>
      </w:r>
      <w:r w:rsidRPr="00D7100C">
        <w:rPr>
          <w:rFonts w:asciiTheme="minorHAnsi" w:hAnsiTheme="minorHAnsi" w:cstheme="minorHAnsi"/>
          <w:sz w:val="22"/>
          <w:szCs w:val="22"/>
          <w:lang w:val="en-AU"/>
        </w:rPr>
        <w:t>.</w:t>
      </w:r>
    </w:p>
    <w:p w14:paraId="23DFE26E" w14:textId="1EFAD8B8" w:rsidR="0091465B" w:rsidRPr="00D7100C" w:rsidRDefault="0091465B" w:rsidP="00D36120">
      <w:pPr>
        <w:spacing w:line="360" w:lineRule="auto"/>
        <w:jc w:val="both"/>
        <w:rPr>
          <w:rFonts w:asciiTheme="minorHAnsi" w:hAnsiTheme="minorHAnsi" w:cstheme="minorHAnsi"/>
          <w:sz w:val="22"/>
          <w:szCs w:val="22"/>
          <w:lang w:val="en-AU"/>
        </w:rPr>
      </w:pPr>
      <w:r w:rsidRPr="00D7100C">
        <w:rPr>
          <w:rFonts w:asciiTheme="minorHAnsi" w:hAnsiTheme="minorHAnsi" w:cstheme="minorHAnsi"/>
          <w:i/>
          <w:iCs/>
          <w:sz w:val="22"/>
          <w:szCs w:val="22"/>
          <w:lang w:val="en-AU"/>
        </w:rPr>
        <w:t>Male peer relations that emphasize aggression and disrespect towards women</w:t>
      </w:r>
      <w:r w:rsidRPr="00D7100C">
        <w:rPr>
          <w:rFonts w:asciiTheme="minorHAnsi" w:hAnsiTheme="minorHAnsi" w:cstheme="minorHAnsi"/>
          <w:sz w:val="22"/>
          <w:szCs w:val="22"/>
          <w:lang w:val="en-AU"/>
        </w:rPr>
        <w:t>: social interactions among men who disrespect</w:t>
      </w:r>
      <w:r w:rsidR="008366C0">
        <w:rPr>
          <w:rFonts w:asciiTheme="minorHAnsi" w:hAnsiTheme="minorHAnsi" w:cstheme="minorHAnsi"/>
          <w:sz w:val="22"/>
          <w:szCs w:val="22"/>
          <w:lang w:val="en-AU"/>
        </w:rPr>
        <w:t>, belittle and dominate women tend to</w:t>
      </w:r>
      <w:r w:rsidRPr="00D7100C">
        <w:rPr>
          <w:rFonts w:asciiTheme="minorHAnsi" w:hAnsiTheme="minorHAnsi" w:cstheme="minorHAnsi"/>
          <w:sz w:val="22"/>
          <w:szCs w:val="22"/>
          <w:lang w:val="en-AU"/>
        </w:rPr>
        <w:t xml:space="preserve"> </w:t>
      </w:r>
      <w:r w:rsidR="008366C0">
        <w:rPr>
          <w:rFonts w:asciiTheme="minorHAnsi" w:hAnsiTheme="minorHAnsi" w:cstheme="minorHAnsi"/>
          <w:sz w:val="22"/>
          <w:szCs w:val="22"/>
          <w:lang w:val="en-AU"/>
        </w:rPr>
        <w:t>reinforce such patterns of thinking</w:t>
      </w:r>
      <w:r w:rsidRPr="00D7100C">
        <w:rPr>
          <w:rFonts w:asciiTheme="minorHAnsi" w:hAnsiTheme="minorHAnsi" w:cstheme="minorHAnsi"/>
          <w:sz w:val="22"/>
          <w:szCs w:val="22"/>
          <w:lang w:val="en-AU"/>
        </w:rPr>
        <w:t xml:space="preserve"> </w:t>
      </w:r>
      <w:r w:rsidR="008366C0">
        <w:rPr>
          <w:rFonts w:asciiTheme="minorHAnsi" w:hAnsiTheme="minorHAnsi" w:cstheme="minorHAnsi"/>
          <w:sz w:val="22"/>
          <w:szCs w:val="22"/>
          <w:lang w:val="en-AU"/>
        </w:rPr>
        <w:t>and accentuate violence</w:t>
      </w:r>
      <w:r w:rsidRPr="00D7100C">
        <w:rPr>
          <w:rFonts w:asciiTheme="minorHAnsi" w:hAnsiTheme="minorHAnsi" w:cstheme="minorHAnsi"/>
          <w:sz w:val="22"/>
          <w:szCs w:val="22"/>
          <w:lang w:val="en-AU"/>
        </w:rPr>
        <w:t>.</w:t>
      </w:r>
      <w:r w:rsidR="008366C0">
        <w:rPr>
          <w:rFonts w:asciiTheme="minorHAnsi" w:hAnsiTheme="minorHAnsi" w:cstheme="minorHAnsi"/>
          <w:sz w:val="22"/>
          <w:szCs w:val="22"/>
          <w:lang w:val="en-AU"/>
        </w:rPr>
        <w:t xml:space="preserve"> It is </w:t>
      </w:r>
      <w:r w:rsidR="00405976">
        <w:rPr>
          <w:rFonts w:asciiTheme="minorHAnsi" w:hAnsiTheme="minorHAnsi" w:cstheme="minorHAnsi"/>
          <w:sz w:val="22"/>
          <w:szCs w:val="22"/>
          <w:lang w:val="en-AU"/>
        </w:rPr>
        <w:t>proposed</w:t>
      </w:r>
      <w:r w:rsidR="008366C0">
        <w:rPr>
          <w:rFonts w:asciiTheme="minorHAnsi" w:hAnsiTheme="minorHAnsi" w:cstheme="minorHAnsi"/>
          <w:sz w:val="22"/>
          <w:szCs w:val="22"/>
          <w:lang w:val="en-AU"/>
        </w:rPr>
        <w:t xml:space="preserve"> that such beliefs be contested, with boys and men encouraged to adopt attitudes founded upon an </w:t>
      </w:r>
      <w:r w:rsidR="0019655D">
        <w:rPr>
          <w:rFonts w:asciiTheme="minorHAnsi" w:hAnsiTheme="minorHAnsi" w:cstheme="minorHAnsi"/>
          <w:sz w:val="22"/>
          <w:szCs w:val="22"/>
          <w:lang w:val="en-AU"/>
        </w:rPr>
        <w:t>understanding</w:t>
      </w:r>
      <w:r w:rsidR="008366C0">
        <w:rPr>
          <w:rFonts w:asciiTheme="minorHAnsi" w:hAnsiTheme="minorHAnsi" w:cstheme="minorHAnsi"/>
          <w:sz w:val="22"/>
          <w:szCs w:val="22"/>
          <w:lang w:val="en-AU"/>
        </w:rPr>
        <w:t xml:space="preserve"> of the equal status, rights and entitlements of women and men. </w:t>
      </w:r>
    </w:p>
    <w:p w14:paraId="40F0610C" w14:textId="2EB2F539" w:rsidR="0091465B" w:rsidRDefault="0091465B" w:rsidP="00D36120">
      <w:pPr>
        <w:spacing w:line="360" w:lineRule="auto"/>
        <w:jc w:val="both"/>
        <w:rPr>
          <w:rFonts w:asciiTheme="minorHAnsi" w:hAnsiTheme="minorHAnsi" w:cstheme="minorHAnsi"/>
          <w:sz w:val="22"/>
          <w:szCs w:val="22"/>
          <w:lang w:val="en-AU"/>
        </w:rPr>
      </w:pPr>
      <w:r w:rsidRPr="00D7100C">
        <w:rPr>
          <w:rFonts w:asciiTheme="minorHAnsi" w:hAnsiTheme="minorHAnsi" w:cstheme="minorHAnsi"/>
          <w:i/>
          <w:iCs/>
          <w:sz w:val="22"/>
          <w:szCs w:val="22"/>
          <w:lang w:val="en-AU"/>
        </w:rPr>
        <w:t>Excusing or justifying violence against women</w:t>
      </w:r>
      <w:r w:rsidRPr="00D7100C">
        <w:rPr>
          <w:rFonts w:asciiTheme="minorHAnsi" w:hAnsiTheme="minorHAnsi" w:cstheme="minorHAnsi"/>
          <w:sz w:val="22"/>
          <w:szCs w:val="22"/>
          <w:lang w:val="en-AU"/>
        </w:rPr>
        <w:t xml:space="preserve">: </w:t>
      </w:r>
      <w:r w:rsidR="008366C0">
        <w:rPr>
          <w:rFonts w:asciiTheme="minorHAnsi" w:hAnsiTheme="minorHAnsi" w:cstheme="minorHAnsi"/>
          <w:sz w:val="22"/>
          <w:szCs w:val="22"/>
          <w:lang w:val="en-AU"/>
        </w:rPr>
        <w:t xml:space="preserve">beliefs and ideas that support, excuse or </w:t>
      </w:r>
      <w:r w:rsidR="00405976">
        <w:rPr>
          <w:rFonts w:asciiTheme="minorHAnsi" w:hAnsiTheme="minorHAnsi" w:cstheme="minorHAnsi"/>
          <w:sz w:val="22"/>
          <w:szCs w:val="22"/>
          <w:lang w:val="en-AU"/>
        </w:rPr>
        <w:t>discount</w:t>
      </w:r>
      <w:r w:rsidR="008366C0">
        <w:rPr>
          <w:rFonts w:asciiTheme="minorHAnsi" w:hAnsiTheme="minorHAnsi" w:cstheme="minorHAnsi"/>
          <w:sz w:val="22"/>
          <w:szCs w:val="22"/>
          <w:lang w:val="en-AU"/>
        </w:rPr>
        <w:t xml:space="preserve"> </w:t>
      </w:r>
      <w:r w:rsidRPr="00D7100C">
        <w:rPr>
          <w:rFonts w:asciiTheme="minorHAnsi" w:hAnsiTheme="minorHAnsi" w:cstheme="minorHAnsi"/>
          <w:sz w:val="22"/>
          <w:szCs w:val="22"/>
          <w:lang w:val="en-AU"/>
        </w:rPr>
        <w:t>violence against women</w:t>
      </w:r>
      <w:r w:rsidR="008366C0">
        <w:rPr>
          <w:rFonts w:asciiTheme="minorHAnsi" w:hAnsiTheme="minorHAnsi" w:cstheme="minorHAnsi"/>
          <w:sz w:val="22"/>
          <w:szCs w:val="22"/>
          <w:lang w:val="en-AU"/>
        </w:rPr>
        <w:t xml:space="preserve">. The report recommends strenuous efforts to </w:t>
      </w:r>
      <w:r w:rsidR="00405976">
        <w:rPr>
          <w:rFonts w:asciiTheme="minorHAnsi" w:hAnsiTheme="minorHAnsi" w:cstheme="minorHAnsi"/>
          <w:sz w:val="22"/>
          <w:szCs w:val="22"/>
          <w:lang w:val="en-AU"/>
        </w:rPr>
        <w:t>resist</w:t>
      </w:r>
      <w:r w:rsidR="008366C0">
        <w:rPr>
          <w:rFonts w:asciiTheme="minorHAnsi" w:hAnsiTheme="minorHAnsi" w:cstheme="minorHAnsi"/>
          <w:sz w:val="22"/>
          <w:szCs w:val="22"/>
          <w:lang w:val="en-AU"/>
        </w:rPr>
        <w:t xml:space="preserve"> and </w:t>
      </w:r>
      <w:r w:rsidR="00405976">
        <w:rPr>
          <w:rFonts w:asciiTheme="minorHAnsi" w:hAnsiTheme="minorHAnsi" w:cstheme="minorHAnsi"/>
          <w:sz w:val="22"/>
          <w:szCs w:val="22"/>
          <w:lang w:val="en-AU"/>
        </w:rPr>
        <w:t>refute</w:t>
      </w:r>
      <w:r w:rsidR="008366C0">
        <w:rPr>
          <w:rFonts w:asciiTheme="minorHAnsi" w:hAnsiTheme="minorHAnsi" w:cstheme="minorHAnsi"/>
          <w:sz w:val="22"/>
          <w:szCs w:val="22"/>
          <w:lang w:val="en-AU"/>
        </w:rPr>
        <w:t xml:space="preserve"> such notions</w:t>
      </w:r>
      <w:r w:rsidRPr="00D7100C">
        <w:rPr>
          <w:rFonts w:asciiTheme="minorHAnsi" w:hAnsiTheme="minorHAnsi" w:cstheme="minorHAnsi"/>
          <w:sz w:val="22"/>
          <w:szCs w:val="22"/>
          <w:lang w:val="en-AU"/>
        </w:rPr>
        <w:t xml:space="preserve"> </w:t>
      </w:r>
      <w:r w:rsidR="009D587C" w:rsidRPr="00D7100C">
        <w:rPr>
          <w:rFonts w:asciiTheme="minorHAnsi" w:hAnsiTheme="minorHAnsi" w:cstheme="minorHAnsi"/>
          <w:sz w:val="22"/>
          <w:szCs w:val="22"/>
          <w:lang w:val="en-AU"/>
        </w:rPr>
        <w:t>(</w:t>
      </w:r>
      <w:r w:rsidR="009D587C">
        <w:rPr>
          <w:rFonts w:asciiTheme="minorHAnsi" w:hAnsiTheme="minorHAnsi" w:cstheme="minorHAnsi"/>
          <w:sz w:val="22"/>
          <w:szCs w:val="22"/>
          <w:lang w:val="en-AU"/>
        </w:rPr>
        <w:t>Our Watch, 2015</w:t>
      </w:r>
      <w:r w:rsidR="009D587C" w:rsidRPr="00D7100C">
        <w:rPr>
          <w:rFonts w:asciiTheme="minorHAnsi" w:hAnsiTheme="minorHAnsi" w:cstheme="minorHAnsi"/>
          <w:sz w:val="22"/>
          <w:szCs w:val="22"/>
          <w:lang w:val="en-AU"/>
        </w:rPr>
        <w:t>)</w:t>
      </w:r>
      <w:r w:rsidRPr="00D7100C">
        <w:rPr>
          <w:rFonts w:asciiTheme="minorHAnsi" w:hAnsiTheme="minorHAnsi" w:cstheme="minorHAnsi"/>
          <w:sz w:val="22"/>
          <w:szCs w:val="22"/>
          <w:lang w:val="en-AU"/>
        </w:rPr>
        <w:t>.</w:t>
      </w:r>
    </w:p>
    <w:p w14:paraId="08FCC1F8" w14:textId="77777777" w:rsidR="0091465B" w:rsidRPr="00D7100C" w:rsidRDefault="0091465B" w:rsidP="00DF5E4C">
      <w:pPr>
        <w:spacing w:beforeLines="60" w:before="144" w:line="360" w:lineRule="auto"/>
        <w:jc w:val="both"/>
        <w:rPr>
          <w:rFonts w:asciiTheme="minorHAnsi" w:hAnsiTheme="minorHAnsi" w:cstheme="minorHAnsi"/>
          <w:b/>
          <w:bCs/>
          <w:sz w:val="22"/>
          <w:szCs w:val="22"/>
          <w:lang w:val="en-AU"/>
        </w:rPr>
      </w:pPr>
      <w:r w:rsidRPr="00D7100C">
        <w:rPr>
          <w:rFonts w:asciiTheme="minorHAnsi" w:hAnsiTheme="minorHAnsi" w:cstheme="minorHAnsi"/>
          <w:b/>
          <w:bCs/>
          <w:sz w:val="22"/>
          <w:szCs w:val="22"/>
          <w:lang w:val="en-AU"/>
        </w:rPr>
        <w:t>Reinforcing factors in family violence</w:t>
      </w:r>
    </w:p>
    <w:p w14:paraId="63A9F912" w14:textId="04B9C7F4" w:rsidR="0091465B" w:rsidRPr="00D7100C" w:rsidRDefault="00405976" w:rsidP="00D7100C">
      <w:pPr>
        <w:spacing w:line="360" w:lineRule="auto"/>
        <w:jc w:val="both"/>
        <w:rPr>
          <w:rFonts w:asciiTheme="minorHAnsi" w:hAnsiTheme="minorHAnsi" w:cstheme="minorHAnsi"/>
          <w:sz w:val="22"/>
          <w:szCs w:val="22"/>
          <w:lang w:val="en-AU"/>
        </w:rPr>
      </w:pPr>
      <w:r>
        <w:rPr>
          <w:rFonts w:asciiTheme="minorHAnsi" w:hAnsiTheme="minorHAnsi" w:cstheme="minorHAnsi"/>
          <w:sz w:val="22"/>
          <w:szCs w:val="22"/>
          <w:lang w:val="en-AU"/>
        </w:rPr>
        <w:t>Our Watch (201</w:t>
      </w:r>
      <w:r w:rsidR="009D587C">
        <w:rPr>
          <w:rFonts w:asciiTheme="minorHAnsi" w:hAnsiTheme="minorHAnsi" w:cstheme="minorHAnsi"/>
          <w:sz w:val="22"/>
          <w:szCs w:val="22"/>
          <w:lang w:val="en-AU"/>
        </w:rPr>
        <w:t>5</w:t>
      </w:r>
      <w:r>
        <w:rPr>
          <w:rFonts w:asciiTheme="minorHAnsi" w:hAnsiTheme="minorHAnsi" w:cstheme="minorHAnsi"/>
          <w:sz w:val="22"/>
          <w:szCs w:val="22"/>
          <w:lang w:val="en-AU"/>
        </w:rPr>
        <w:t>)</w:t>
      </w:r>
      <w:r w:rsidR="0091465B" w:rsidRPr="00D7100C">
        <w:rPr>
          <w:rFonts w:asciiTheme="minorHAnsi" w:hAnsiTheme="minorHAnsi" w:cstheme="minorHAnsi"/>
          <w:sz w:val="22"/>
          <w:szCs w:val="22"/>
          <w:lang w:val="en-AU"/>
        </w:rPr>
        <w:t xml:space="preserve"> maintains that other social and political </w:t>
      </w:r>
      <w:r w:rsidR="00891AF7">
        <w:rPr>
          <w:rFonts w:asciiTheme="minorHAnsi" w:hAnsiTheme="minorHAnsi" w:cstheme="minorHAnsi"/>
          <w:sz w:val="22"/>
          <w:szCs w:val="22"/>
          <w:lang w:val="en-AU"/>
        </w:rPr>
        <w:t xml:space="preserve">circumstances </w:t>
      </w:r>
      <w:r w:rsidR="0091465B" w:rsidRPr="00D7100C">
        <w:rPr>
          <w:rFonts w:asciiTheme="minorHAnsi" w:hAnsiTheme="minorHAnsi" w:cstheme="minorHAnsi"/>
          <w:sz w:val="22"/>
          <w:szCs w:val="22"/>
          <w:lang w:val="en-AU"/>
        </w:rPr>
        <w:t>influence gender inequality and the frequency, severity and prevalence of violence against women</w:t>
      </w:r>
      <w:r w:rsidR="009D587C">
        <w:rPr>
          <w:rFonts w:asciiTheme="minorHAnsi" w:hAnsiTheme="minorHAnsi" w:cstheme="minorHAnsi"/>
          <w:sz w:val="22"/>
          <w:szCs w:val="22"/>
          <w:lang w:val="en-AU"/>
        </w:rPr>
        <w:t>.</w:t>
      </w:r>
      <w:r w:rsidR="0091465B" w:rsidRPr="00D7100C">
        <w:rPr>
          <w:rFonts w:asciiTheme="minorHAnsi" w:hAnsiTheme="minorHAnsi" w:cstheme="minorHAnsi"/>
          <w:sz w:val="22"/>
          <w:szCs w:val="22"/>
          <w:lang w:val="en-AU"/>
        </w:rPr>
        <w:t xml:space="preserve"> Termed ‘reinforcing factors’</w:t>
      </w:r>
      <w:r w:rsidR="0019655D">
        <w:rPr>
          <w:rFonts w:asciiTheme="minorHAnsi" w:hAnsiTheme="minorHAnsi" w:cstheme="minorHAnsi"/>
          <w:sz w:val="22"/>
          <w:szCs w:val="22"/>
          <w:lang w:val="en-AU"/>
        </w:rPr>
        <w:t xml:space="preserve"> by its authors</w:t>
      </w:r>
      <w:r w:rsidR="0091465B" w:rsidRPr="00D7100C">
        <w:rPr>
          <w:rFonts w:asciiTheme="minorHAnsi" w:hAnsiTheme="minorHAnsi" w:cstheme="minorHAnsi"/>
          <w:sz w:val="22"/>
          <w:szCs w:val="22"/>
          <w:lang w:val="en-AU"/>
        </w:rPr>
        <w:t xml:space="preserve">, these include a tendency to commit or excuse violence; aggravation of violence by alcohol and other drugs; </w:t>
      </w:r>
      <w:r w:rsidR="0091465B" w:rsidRPr="00D7100C">
        <w:rPr>
          <w:rFonts w:asciiTheme="minorHAnsi" w:hAnsiTheme="minorHAnsi" w:cstheme="minorHAnsi"/>
          <w:sz w:val="22"/>
          <w:szCs w:val="22"/>
          <w:lang w:val="en-AU"/>
        </w:rPr>
        <w:lastRenderedPageBreak/>
        <w:t>and the impact of socioeconomic disadvantage. To negate those conditions which reinforce violence against women, a number of broad approaches are recommended; among them:</w:t>
      </w:r>
    </w:p>
    <w:p w14:paraId="0AC5074D" w14:textId="3126B1EB" w:rsidR="0091465B" w:rsidRPr="00D7100C" w:rsidRDefault="008366C0" w:rsidP="00D7100C">
      <w:pPr>
        <w:pStyle w:val="ListParagraph"/>
        <w:numPr>
          <w:ilvl w:val="0"/>
          <w:numId w:val="5"/>
        </w:numPr>
        <w:spacing w:line="360" w:lineRule="auto"/>
        <w:ind w:left="426"/>
        <w:jc w:val="both"/>
        <w:rPr>
          <w:rFonts w:asciiTheme="minorHAnsi" w:hAnsiTheme="minorHAnsi" w:cstheme="minorHAnsi"/>
          <w:sz w:val="22"/>
          <w:szCs w:val="22"/>
          <w:lang w:val="en-AU"/>
        </w:rPr>
      </w:pPr>
      <w:r>
        <w:rPr>
          <w:rFonts w:asciiTheme="minorHAnsi" w:hAnsiTheme="minorHAnsi" w:cstheme="minorHAnsi"/>
          <w:sz w:val="22"/>
          <w:szCs w:val="22"/>
          <w:lang w:val="en-AU"/>
        </w:rPr>
        <w:t>Refuting</w:t>
      </w:r>
      <w:r w:rsidR="0091465B" w:rsidRPr="00D7100C">
        <w:rPr>
          <w:rFonts w:asciiTheme="minorHAnsi" w:hAnsiTheme="minorHAnsi" w:cstheme="minorHAnsi"/>
          <w:sz w:val="22"/>
          <w:szCs w:val="22"/>
          <w:lang w:val="en-AU"/>
        </w:rPr>
        <w:t xml:space="preserve"> the </w:t>
      </w:r>
      <w:r>
        <w:rPr>
          <w:rFonts w:asciiTheme="minorHAnsi" w:hAnsiTheme="minorHAnsi" w:cstheme="minorHAnsi"/>
          <w:sz w:val="22"/>
          <w:szCs w:val="22"/>
          <w:lang w:val="en-AU"/>
        </w:rPr>
        <w:t>notion</w:t>
      </w:r>
      <w:r w:rsidR="0091465B" w:rsidRPr="00D7100C">
        <w:rPr>
          <w:rFonts w:asciiTheme="minorHAnsi" w:hAnsiTheme="minorHAnsi" w:cstheme="minorHAnsi"/>
          <w:sz w:val="22"/>
          <w:szCs w:val="22"/>
          <w:lang w:val="en-AU"/>
        </w:rPr>
        <w:t xml:space="preserve"> that men are </w:t>
      </w:r>
      <w:r>
        <w:rPr>
          <w:rFonts w:asciiTheme="minorHAnsi" w:hAnsiTheme="minorHAnsi" w:cstheme="minorHAnsi"/>
          <w:sz w:val="22"/>
          <w:szCs w:val="22"/>
          <w:lang w:val="en-AU"/>
        </w:rPr>
        <w:t xml:space="preserve">inherently aggressive, while cultivating heathy, respectful relationships and </w:t>
      </w:r>
      <w:r w:rsidR="0019655D">
        <w:rPr>
          <w:rFonts w:asciiTheme="minorHAnsi" w:hAnsiTheme="minorHAnsi" w:cstheme="minorHAnsi"/>
          <w:sz w:val="22"/>
          <w:szCs w:val="22"/>
          <w:lang w:val="en-AU"/>
        </w:rPr>
        <w:t>support for respect and equality</w:t>
      </w:r>
      <w:r>
        <w:rPr>
          <w:rFonts w:asciiTheme="minorHAnsi" w:hAnsiTheme="minorHAnsi" w:cstheme="minorHAnsi"/>
          <w:sz w:val="22"/>
          <w:szCs w:val="22"/>
          <w:lang w:val="en-AU"/>
        </w:rPr>
        <w:t xml:space="preserve"> among women and men.</w:t>
      </w:r>
    </w:p>
    <w:p w14:paraId="43B5CDB2" w14:textId="7D3E0F92" w:rsidR="0091465B" w:rsidRPr="00D7100C" w:rsidRDefault="008366C0" w:rsidP="00D7100C">
      <w:pPr>
        <w:pStyle w:val="ListParagraph"/>
        <w:numPr>
          <w:ilvl w:val="0"/>
          <w:numId w:val="5"/>
        </w:numPr>
        <w:spacing w:line="360" w:lineRule="auto"/>
        <w:ind w:left="426"/>
        <w:jc w:val="both"/>
        <w:rPr>
          <w:rFonts w:asciiTheme="minorHAnsi" w:hAnsiTheme="minorHAnsi" w:cstheme="minorHAnsi"/>
          <w:sz w:val="22"/>
          <w:szCs w:val="22"/>
          <w:lang w:val="en-AU"/>
        </w:rPr>
      </w:pPr>
      <w:r>
        <w:rPr>
          <w:rFonts w:asciiTheme="minorHAnsi" w:hAnsiTheme="minorHAnsi" w:cstheme="minorHAnsi"/>
          <w:sz w:val="22"/>
          <w:szCs w:val="22"/>
          <w:lang w:val="en-AU"/>
        </w:rPr>
        <w:t xml:space="preserve">Encouraging parents not to inflict violence upon their children, coupled with the prevention of </w:t>
      </w:r>
      <w:r w:rsidR="0091465B" w:rsidRPr="00D7100C">
        <w:rPr>
          <w:rFonts w:asciiTheme="minorHAnsi" w:hAnsiTheme="minorHAnsi" w:cstheme="minorHAnsi"/>
          <w:sz w:val="22"/>
          <w:szCs w:val="22"/>
          <w:lang w:val="en-AU"/>
        </w:rPr>
        <w:t>child abuse.</w:t>
      </w:r>
    </w:p>
    <w:p w14:paraId="30A0EC66" w14:textId="1F068D4E" w:rsidR="0091465B" w:rsidRPr="00D7100C" w:rsidRDefault="008366C0" w:rsidP="00D7100C">
      <w:pPr>
        <w:pStyle w:val="ListParagraph"/>
        <w:numPr>
          <w:ilvl w:val="0"/>
          <w:numId w:val="5"/>
        </w:numPr>
        <w:spacing w:line="360" w:lineRule="auto"/>
        <w:ind w:left="426"/>
        <w:jc w:val="both"/>
        <w:rPr>
          <w:rFonts w:asciiTheme="minorHAnsi" w:hAnsiTheme="minorHAnsi" w:cstheme="minorHAnsi"/>
          <w:sz w:val="22"/>
          <w:szCs w:val="22"/>
          <w:lang w:val="en-AU"/>
        </w:rPr>
      </w:pPr>
      <w:r>
        <w:rPr>
          <w:rFonts w:asciiTheme="minorHAnsi" w:hAnsiTheme="minorHAnsi" w:cstheme="minorHAnsi"/>
          <w:sz w:val="22"/>
          <w:szCs w:val="22"/>
          <w:lang w:val="en-AU"/>
        </w:rPr>
        <w:t>Contesting</w:t>
      </w:r>
      <w:r w:rsidR="0091465B" w:rsidRPr="00D7100C">
        <w:rPr>
          <w:rFonts w:asciiTheme="minorHAnsi" w:hAnsiTheme="minorHAnsi" w:cstheme="minorHAnsi"/>
          <w:sz w:val="22"/>
          <w:szCs w:val="22"/>
          <w:lang w:val="en-AU"/>
        </w:rPr>
        <w:t xml:space="preserve"> excuses </w:t>
      </w:r>
      <w:r>
        <w:rPr>
          <w:rFonts w:asciiTheme="minorHAnsi" w:hAnsiTheme="minorHAnsi" w:cstheme="minorHAnsi"/>
          <w:sz w:val="22"/>
          <w:szCs w:val="22"/>
          <w:lang w:val="en-AU"/>
        </w:rPr>
        <w:t>offered</w:t>
      </w:r>
      <w:r w:rsidR="0091465B" w:rsidRPr="00D7100C">
        <w:rPr>
          <w:rFonts w:asciiTheme="minorHAnsi" w:hAnsiTheme="minorHAnsi" w:cstheme="minorHAnsi"/>
          <w:sz w:val="22"/>
          <w:szCs w:val="22"/>
          <w:lang w:val="en-AU"/>
        </w:rPr>
        <w:t xml:space="preserve"> </w:t>
      </w:r>
      <w:r>
        <w:rPr>
          <w:rFonts w:asciiTheme="minorHAnsi" w:hAnsiTheme="minorHAnsi" w:cstheme="minorHAnsi"/>
          <w:sz w:val="22"/>
          <w:szCs w:val="22"/>
          <w:lang w:val="en-AU"/>
        </w:rPr>
        <w:t>for</w:t>
      </w:r>
      <w:r w:rsidR="0091465B" w:rsidRPr="00D7100C">
        <w:rPr>
          <w:rFonts w:asciiTheme="minorHAnsi" w:hAnsiTheme="minorHAnsi" w:cstheme="minorHAnsi"/>
          <w:sz w:val="22"/>
          <w:szCs w:val="22"/>
          <w:lang w:val="en-AU"/>
        </w:rPr>
        <w:t xml:space="preserve"> violence</w:t>
      </w:r>
      <w:r>
        <w:rPr>
          <w:rFonts w:asciiTheme="minorHAnsi" w:hAnsiTheme="minorHAnsi" w:cstheme="minorHAnsi"/>
          <w:sz w:val="22"/>
          <w:szCs w:val="22"/>
          <w:lang w:val="en-AU"/>
        </w:rPr>
        <w:t xml:space="preserve"> given by some men</w:t>
      </w:r>
      <w:r w:rsidR="0091465B" w:rsidRPr="00D7100C">
        <w:rPr>
          <w:rFonts w:asciiTheme="minorHAnsi" w:hAnsiTheme="minorHAnsi" w:cstheme="minorHAnsi"/>
          <w:sz w:val="22"/>
          <w:szCs w:val="22"/>
          <w:lang w:val="en-AU"/>
        </w:rPr>
        <w:t>.</w:t>
      </w:r>
    </w:p>
    <w:p w14:paraId="2899CA84" w14:textId="0A3C85CD" w:rsidR="0091465B" w:rsidRPr="00D7100C" w:rsidRDefault="008366C0" w:rsidP="00D7100C">
      <w:pPr>
        <w:pStyle w:val="ListParagraph"/>
        <w:numPr>
          <w:ilvl w:val="0"/>
          <w:numId w:val="5"/>
        </w:numPr>
        <w:spacing w:line="360" w:lineRule="auto"/>
        <w:ind w:left="426"/>
        <w:jc w:val="both"/>
        <w:rPr>
          <w:rFonts w:asciiTheme="minorHAnsi" w:hAnsiTheme="minorHAnsi" w:cstheme="minorHAnsi"/>
          <w:sz w:val="22"/>
          <w:szCs w:val="22"/>
          <w:lang w:val="en-AU"/>
        </w:rPr>
      </w:pPr>
      <w:r>
        <w:rPr>
          <w:rFonts w:asciiTheme="minorHAnsi" w:hAnsiTheme="minorHAnsi" w:cstheme="minorHAnsi"/>
          <w:sz w:val="22"/>
          <w:szCs w:val="22"/>
          <w:lang w:val="en-AU"/>
        </w:rPr>
        <w:t>Fostering resilience within relationships and</w:t>
      </w:r>
      <w:r w:rsidR="0091465B" w:rsidRPr="00D7100C">
        <w:rPr>
          <w:rFonts w:asciiTheme="minorHAnsi" w:hAnsiTheme="minorHAnsi" w:cstheme="minorHAnsi"/>
          <w:sz w:val="22"/>
          <w:szCs w:val="22"/>
          <w:lang w:val="en-AU"/>
        </w:rPr>
        <w:t xml:space="preserve"> communities </w:t>
      </w:r>
      <w:r w:rsidR="00836251">
        <w:rPr>
          <w:rFonts w:asciiTheme="minorHAnsi" w:hAnsiTheme="minorHAnsi" w:cstheme="minorHAnsi"/>
          <w:sz w:val="22"/>
          <w:szCs w:val="22"/>
          <w:lang w:val="en-AU"/>
        </w:rPr>
        <w:t>to enable them to endure disruptive social or economic change</w:t>
      </w:r>
      <w:r w:rsidR="0019655D">
        <w:rPr>
          <w:rFonts w:asciiTheme="minorHAnsi" w:hAnsiTheme="minorHAnsi" w:cstheme="minorHAnsi"/>
          <w:sz w:val="22"/>
          <w:szCs w:val="22"/>
          <w:lang w:val="en-AU"/>
        </w:rPr>
        <w:t xml:space="preserve"> – which otherwise may challenge the sense of personal identity and self-esteem held by many men.</w:t>
      </w:r>
    </w:p>
    <w:p w14:paraId="2EFAEC0B" w14:textId="7BECC105" w:rsidR="0091465B" w:rsidRPr="00D7100C" w:rsidRDefault="0091465B" w:rsidP="00D7100C">
      <w:pPr>
        <w:pStyle w:val="ListParagraph"/>
        <w:numPr>
          <w:ilvl w:val="0"/>
          <w:numId w:val="5"/>
        </w:numPr>
        <w:spacing w:line="360" w:lineRule="auto"/>
        <w:ind w:left="426"/>
        <w:jc w:val="both"/>
        <w:rPr>
          <w:rFonts w:asciiTheme="minorHAnsi" w:hAnsiTheme="minorHAnsi" w:cstheme="minorHAnsi"/>
          <w:sz w:val="22"/>
          <w:szCs w:val="22"/>
          <w:lang w:val="en-AU"/>
        </w:rPr>
      </w:pPr>
      <w:r w:rsidRPr="00D7100C">
        <w:rPr>
          <w:rFonts w:asciiTheme="minorHAnsi" w:hAnsiTheme="minorHAnsi" w:cstheme="minorHAnsi"/>
          <w:sz w:val="22"/>
          <w:szCs w:val="22"/>
          <w:lang w:val="en-AU"/>
        </w:rPr>
        <w:t>Address</w:t>
      </w:r>
      <w:r w:rsidR="008366C0">
        <w:rPr>
          <w:rFonts w:asciiTheme="minorHAnsi" w:hAnsiTheme="minorHAnsi" w:cstheme="minorHAnsi"/>
          <w:sz w:val="22"/>
          <w:szCs w:val="22"/>
          <w:lang w:val="en-AU"/>
        </w:rPr>
        <w:t>ing</w:t>
      </w:r>
      <w:r w:rsidRPr="00D7100C">
        <w:rPr>
          <w:rFonts w:asciiTheme="minorHAnsi" w:hAnsiTheme="minorHAnsi" w:cstheme="minorHAnsi"/>
          <w:sz w:val="22"/>
          <w:szCs w:val="22"/>
          <w:lang w:val="en-AU"/>
        </w:rPr>
        <w:t xml:space="preserve"> poverty</w:t>
      </w:r>
      <w:r w:rsidR="00836251">
        <w:rPr>
          <w:rFonts w:asciiTheme="minorHAnsi" w:hAnsiTheme="minorHAnsi" w:cstheme="minorHAnsi"/>
          <w:sz w:val="22"/>
          <w:szCs w:val="22"/>
          <w:lang w:val="en-AU"/>
        </w:rPr>
        <w:t xml:space="preserve"> and other financial hardship;</w:t>
      </w:r>
      <w:r w:rsidRPr="00D7100C">
        <w:rPr>
          <w:rFonts w:asciiTheme="minorHAnsi" w:hAnsiTheme="minorHAnsi" w:cstheme="minorHAnsi"/>
          <w:sz w:val="22"/>
          <w:szCs w:val="22"/>
          <w:lang w:val="en-AU"/>
        </w:rPr>
        <w:t xml:space="preserve"> racial, cultural</w:t>
      </w:r>
      <w:r w:rsidR="00836251">
        <w:rPr>
          <w:rFonts w:asciiTheme="minorHAnsi" w:hAnsiTheme="minorHAnsi" w:cstheme="minorHAnsi"/>
          <w:sz w:val="22"/>
          <w:szCs w:val="22"/>
          <w:lang w:val="en-AU"/>
        </w:rPr>
        <w:t xml:space="preserve">, </w:t>
      </w:r>
      <w:r w:rsidRPr="00D7100C">
        <w:rPr>
          <w:rFonts w:asciiTheme="minorHAnsi" w:hAnsiTheme="minorHAnsi" w:cstheme="minorHAnsi"/>
          <w:sz w:val="22"/>
          <w:szCs w:val="22"/>
          <w:lang w:val="en-AU"/>
        </w:rPr>
        <w:t>religious</w:t>
      </w:r>
      <w:r w:rsidR="00836251">
        <w:rPr>
          <w:rFonts w:asciiTheme="minorHAnsi" w:hAnsiTheme="minorHAnsi" w:cstheme="minorHAnsi"/>
          <w:sz w:val="22"/>
          <w:szCs w:val="22"/>
          <w:lang w:val="en-AU"/>
        </w:rPr>
        <w:t xml:space="preserve"> or gender identity-based</w:t>
      </w:r>
      <w:r w:rsidRPr="00D7100C">
        <w:rPr>
          <w:rFonts w:asciiTheme="minorHAnsi" w:hAnsiTheme="minorHAnsi" w:cstheme="minorHAnsi"/>
          <w:sz w:val="22"/>
          <w:szCs w:val="22"/>
          <w:lang w:val="en-AU"/>
        </w:rPr>
        <w:t xml:space="preserve"> discrimination</w:t>
      </w:r>
      <w:r w:rsidR="00836251">
        <w:rPr>
          <w:rFonts w:asciiTheme="minorHAnsi" w:hAnsiTheme="minorHAnsi" w:cstheme="minorHAnsi"/>
          <w:sz w:val="22"/>
          <w:szCs w:val="22"/>
          <w:lang w:val="en-AU"/>
        </w:rPr>
        <w:t>;</w:t>
      </w:r>
      <w:r w:rsidRPr="00D7100C">
        <w:rPr>
          <w:rFonts w:asciiTheme="minorHAnsi" w:hAnsiTheme="minorHAnsi" w:cstheme="minorHAnsi"/>
          <w:sz w:val="22"/>
          <w:szCs w:val="22"/>
          <w:lang w:val="en-AU"/>
        </w:rPr>
        <w:t xml:space="preserve"> the challenges of settlement</w:t>
      </w:r>
      <w:r w:rsidR="00836251">
        <w:rPr>
          <w:rFonts w:asciiTheme="minorHAnsi" w:hAnsiTheme="minorHAnsi" w:cstheme="minorHAnsi"/>
          <w:sz w:val="22"/>
          <w:szCs w:val="22"/>
          <w:lang w:val="en-AU"/>
        </w:rPr>
        <w:t>;</w:t>
      </w:r>
      <w:r w:rsidRPr="00D7100C">
        <w:rPr>
          <w:rFonts w:asciiTheme="minorHAnsi" w:hAnsiTheme="minorHAnsi" w:cstheme="minorHAnsi"/>
          <w:sz w:val="22"/>
          <w:szCs w:val="22"/>
          <w:lang w:val="en-AU"/>
        </w:rPr>
        <w:t xml:space="preserve"> single parenthood</w:t>
      </w:r>
      <w:r w:rsidR="00836251">
        <w:rPr>
          <w:rFonts w:asciiTheme="minorHAnsi" w:hAnsiTheme="minorHAnsi" w:cstheme="minorHAnsi"/>
          <w:sz w:val="22"/>
          <w:szCs w:val="22"/>
          <w:lang w:val="en-AU"/>
        </w:rPr>
        <w:t>;</w:t>
      </w:r>
      <w:r w:rsidRPr="00D7100C">
        <w:rPr>
          <w:rFonts w:asciiTheme="minorHAnsi" w:hAnsiTheme="minorHAnsi" w:cstheme="minorHAnsi"/>
          <w:sz w:val="22"/>
          <w:szCs w:val="22"/>
          <w:lang w:val="en-AU"/>
        </w:rPr>
        <w:t xml:space="preserve"> and </w:t>
      </w:r>
      <w:r w:rsidR="00836251">
        <w:rPr>
          <w:rFonts w:asciiTheme="minorHAnsi" w:hAnsiTheme="minorHAnsi" w:cstheme="minorHAnsi"/>
          <w:sz w:val="22"/>
          <w:szCs w:val="22"/>
          <w:lang w:val="en-AU"/>
        </w:rPr>
        <w:t xml:space="preserve">other </w:t>
      </w:r>
      <w:r w:rsidR="008366C0" w:rsidRPr="00D7100C">
        <w:rPr>
          <w:rFonts w:asciiTheme="minorHAnsi" w:hAnsiTheme="minorHAnsi" w:cstheme="minorHAnsi"/>
          <w:sz w:val="22"/>
          <w:szCs w:val="22"/>
          <w:lang w:val="en-AU"/>
        </w:rPr>
        <w:t xml:space="preserve">forms of disadvantage </w:t>
      </w:r>
      <w:r w:rsidRPr="00D7100C">
        <w:rPr>
          <w:rFonts w:asciiTheme="minorHAnsi" w:hAnsiTheme="minorHAnsi" w:cstheme="minorHAnsi"/>
          <w:sz w:val="22"/>
          <w:szCs w:val="22"/>
          <w:lang w:val="en-AU"/>
        </w:rPr>
        <w:t>(</w:t>
      </w:r>
      <w:r w:rsidR="00F42177" w:rsidRPr="00F42177">
        <w:rPr>
          <w:rFonts w:asciiTheme="minorHAnsi" w:hAnsiTheme="minorHAnsi" w:cstheme="minorHAnsi"/>
          <w:sz w:val="22"/>
          <w:szCs w:val="22"/>
          <w:lang w:val="en-AU"/>
        </w:rPr>
        <w:t>Our Watch, 2015)</w:t>
      </w:r>
      <w:r w:rsidRPr="00D7100C">
        <w:rPr>
          <w:rFonts w:asciiTheme="minorHAnsi" w:hAnsiTheme="minorHAnsi" w:cstheme="minorHAnsi"/>
          <w:sz w:val="22"/>
          <w:szCs w:val="22"/>
          <w:lang w:val="en-AU"/>
        </w:rPr>
        <w:t>.</w:t>
      </w:r>
    </w:p>
    <w:p w14:paraId="4A6D0552" w14:textId="214F30DF" w:rsidR="00845F9C" w:rsidRDefault="0091465B" w:rsidP="00D7100C">
      <w:pPr>
        <w:spacing w:line="360" w:lineRule="auto"/>
        <w:jc w:val="both"/>
        <w:rPr>
          <w:rFonts w:asciiTheme="minorHAnsi" w:hAnsiTheme="minorHAnsi" w:cstheme="minorHAnsi"/>
          <w:sz w:val="22"/>
          <w:szCs w:val="22"/>
        </w:rPr>
      </w:pPr>
      <w:r w:rsidRPr="00D7100C">
        <w:rPr>
          <w:rFonts w:asciiTheme="minorHAnsi" w:hAnsiTheme="minorHAnsi" w:cstheme="minorHAnsi"/>
          <w:sz w:val="22"/>
          <w:szCs w:val="22"/>
          <w:lang w:val="en-AU"/>
        </w:rPr>
        <w:t xml:space="preserve">The task of addressing the conditions which cause or contribute to violence against women may require persistent effort. As </w:t>
      </w:r>
      <w:r w:rsidR="009D587C">
        <w:rPr>
          <w:rFonts w:asciiTheme="minorHAnsi" w:hAnsiTheme="minorHAnsi" w:cstheme="minorHAnsi"/>
          <w:sz w:val="22"/>
          <w:szCs w:val="22"/>
          <w:lang w:val="en-AU"/>
        </w:rPr>
        <w:t>Our Watch (2018)</w:t>
      </w:r>
      <w:r w:rsidRPr="00D7100C">
        <w:rPr>
          <w:rFonts w:asciiTheme="minorHAnsi" w:hAnsiTheme="minorHAnsi" w:cstheme="minorHAnsi"/>
          <w:sz w:val="22"/>
          <w:szCs w:val="22"/>
          <w:lang w:val="en-AU"/>
        </w:rPr>
        <w:t xml:space="preserve"> explains, “Because we know the underlying drivers of violence are complex, deeply entrenched and exist at all levels of our society, primary prevention also seeks to </w:t>
      </w:r>
      <w:r w:rsidRPr="00891AF7">
        <w:rPr>
          <w:rFonts w:asciiTheme="minorHAnsi" w:hAnsiTheme="minorHAnsi" w:cstheme="minorHAnsi"/>
          <w:sz w:val="22"/>
          <w:szCs w:val="22"/>
          <w:lang w:val="en-AU"/>
        </w:rPr>
        <w:t>work at all levels of society. It is an ambitious, long-term approach, aiming for social transformation</w:t>
      </w:r>
      <w:r w:rsidRPr="00891AF7">
        <w:rPr>
          <w:rFonts w:asciiTheme="minorHAnsi" w:hAnsiTheme="minorHAnsi" w:cstheme="minorHAnsi"/>
          <w:sz w:val="22"/>
          <w:szCs w:val="22"/>
        </w:rPr>
        <w:t xml:space="preserve"> on a scale that will create a safe and equal society for every woman and her children.”</w:t>
      </w:r>
    </w:p>
    <w:p w14:paraId="518E4653" w14:textId="5A2CADCD" w:rsidR="00B90865" w:rsidRDefault="00B90865" w:rsidP="00D7100C">
      <w:pPr>
        <w:spacing w:line="360" w:lineRule="auto"/>
        <w:jc w:val="both"/>
        <w:rPr>
          <w:rFonts w:asciiTheme="minorHAnsi" w:hAnsiTheme="minorHAnsi" w:cstheme="minorHAnsi"/>
          <w:sz w:val="22"/>
          <w:szCs w:val="22"/>
        </w:rPr>
      </w:pPr>
    </w:p>
    <w:p w14:paraId="7F146E88" w14:textId="4DE1482C" w:rsidR="00B90865" w:rsidRDefault="00B90865">
      <w:pPr>
        <w:rPr>
          <w:rFonts w:asciiTheme="minorHAnsi" w:hAnsiTheme="minorHAnsi" w:cstheme="minorHAnsi"/>
          <w:sz w:val="22"/>
          <w:szCs w:val="22"/>
        </w:rPr>
      </w:pPr>
      <w:r>
        <w:rPr>
          <w:rFonts w:asciiTheme="minorHAnsi" w:hAnsiTheme="minorHAnsi" w:cstheme="minorHAnsi"/>
          <w:sz w:val="22"/>
          <w:szCs w:val="22"/>
        </w:rPr>
        <w:br w:type="page"/>
      </w:r>
    </w:p>
    <w:p w14:paraId="569AA80F" w14:textId="024C8B71" w:rsidR="00B90865" w:rsidRDefault="00B90865" w:rsidP="00355388">
      <w:pPr>
        <w:spacing w:line="360" w:lineRule="auto"/>
        <w:jc w:val="center"/>
        <w:rPr>
          <w:rFonts w:asciiTheme="minorHAnsi" w:hAnsiTheme="minorHAnsi" w:cstheme="minorHAnsi"/>
          <w:b/>
          <w:bCs/>
          <w:sz w:val="28"/>
          <w:szCs w:val="28"/>
        </w:rPr>
      </w:pPr>
      <w:r w:rsidRPr="009D587C">
        <w:rPr>
          <w:rFonts w:asciiTheme="minorHAnsi" w:hAnsiTheme="minorHAnsi" w:cstheme="minorHAnsi"/>
          <w:b/>
          <w:bCs/>
          <w:sz w:val="28"/>
          <w:szCs w:val="28"/>
        </w:rPr>
        <w:lastRenderedPageBreak/>
        <w:t>REFERENCES</w:t>
      </w:r>
    </w:p>
    <w:p w14:paraId="4D8E2007" w14:textId="77777777" w:rsidR="00355388" w:rsidRPr="009D587C" w:rsidRDefault="00355388" w:rsidP="00355388">
      <w:pPr>
        <w:spacing w:line="360" w:lineRule="auto"/>
        <w:jc w:val="center"/>
        <w:rPr>
          <w:rFonts w:asciiTheme="minorHAnsi" w:hAnsiTheme="minorHAnsi" w:cstheme="minorHAnsi"/>
          <w:b/>
          <w:bCs/>
          <w:sz w:val="28"/>
          <w:szCs w:val="28"/>
        </w:rPr>
      </w:pPr>
    </w:p>
    <w:p w14:paraId="0D76C3BC" w14:textId="77777777" w:rsidR="006A288A" w:rsidRPr="00D7100C" w:rsidRDefault="006A288A" w:rsidP="00DF1B34">
      <w:pPr>
        <w:spacing w:before="480"/>
        <w:jc w:val="both"/>
        <w:rPr>
          <w:rFonts w:asciiTheme="minorHAnsi" w:hAnsiTheme="minorHAnsi" w:cstheme="minorHAnsi"/>
        </w:rPr>
      </w:pPr>
      <w:r w:rsidRPr="006A288A">
        <w:rPr>
          <w:rFonts w:asciiTheme="minorHAnsi" w:hAnsiTheme="minorHAnsi" w:cstheme="minorHAnsi"/>
          <w:color w:val="000000" w:themeColor="text1"/>
          <w:sz w:val="22"/>
          <w:szCs w:val="22"/>
        </w:rPr>
        <w:t xml:space="preserve">ABC News (2018). </w:t>
      </w:r>
      <w:r w:rsidRPr="00355388">
        <w:rPr>
          <w:rFonts w:asciiTheme="minorHAnsi" w:hAnsiTheme="minorHAnsi" w:cstheme="minorHAnsi"/>
          <w:color w:val="000000" w:themeColor="text1"/>
          <w:sz w:val="22"/>
          <w:szCs w:val="22"/>
          <w:u w:val="single"/>
        </w:rPr>
        <w:t>Street harassment survey reveals girls as young as 11 catcalled and followed</w:t>
      </w:r>
      <w:r w:rsidRPr="006A288A">
        <w:rPr>
          <w:rFonts w:asciiTheme="minorHAnsi" w:hAnsiTheme="minorHAnsi" w:cstheme="minorHAnsi"/>
          <w:color w:val="000000" w:themeColor="text1"/>
          <w:sz w:val="22"/>
          <w:szCs w:val="22"/>
        </w:rPr>
        <w:t>. Tuesday</w:t>
      </w:r>
      <w:r>
        <w:rPr>
          <w:rFonts w:asciiTheme="minorHAnsi" w:hAnsiTheme="minorHAnsi" w:cstheme="minorHAnsi"/>
          <w:color w:val="000000" w:themeColor="text1"/>
          <w:sz w:val="22"/>
          <w:szCs w:val="22"/>
        </w:rPr>
        <w:t xml:space="preserve"> </w:t>
      </w:r>
      <w:r w:rsidRPr="006A288A">
        <w:rPr>
          <w:rFonts w:asciiTheme="minorHAnsi" w:hAnsiTheme="minorHAnsi" w:cstheme="minorHAnsi"/>
          <w:color w:val="000000" w:themeColor="text1"/>
          <w:sz w:val="22"/>
          <w:szCs w:val="22"/>
        </w:rPr>
        <w:t>22</w:t>
      </w:r>
      <w:r>
        <w:rPr>
          <w:rFonts w:asciiTheme="minorHAnsi" w:hAnsiTheme="minorHAnsi" w:cstheme="minorHAnsi"/>
          <w:color w:val="000000" w:themeColor="text1"/>
          <w:sz w:val="22"/>
          <w:szCs w:val="22"/>
        </w:rPr>
        <w:t xml:space="preserve"> May 2018</w:t>
      </w:r>
    </w:p>
    <w:p w14:paraId="75EE841D" w14:textId="77777777" w:rsidR="00C3686E" w:rsidRPr="00C3686E" w:rsidRDefault="00C3686E" w:rsidP="00C3686E">
      <w:pPr>
        <w:spacing w:before="480"/>
        <w:jc w:val="both"/>
        <w:rPr>
          <w:rFonts w:asciiTheme="minorHAnsi" w:hAnsiTheme="minorHAnsi" w:cstheme="minorHAnsi"/>
          <w:color w:val="000000" w:themeColor="text1"/>
          <w:sz w:val="22"/>
          <w:szCs w:val="22"/>
        </w:rPr>
      </w:pPr>
      <w:r w:rsidRPr="00C3686E">
        <w:rPr>
          <w:rFonts w:asciiTheme="minorHAnsi" w:hAnsiTheme="minorHAnsi" w:cstheme="minorHAnsi"/>
          <w:color w:val="000000" w:themeColor="text1"/>
          <w:sz w:val="22"/>
          <w:szCs w:val="22"/>
        </w:rPr>
        <w:t>Australian Bureau of Statistics (2023). Personal Safety Survey. ABS, Canberra.</w:t>
      </w:r>
    </w:p>
    <w:p w14:paraId="46006ADD" w14:textId="77777777" w:rsidR="006A288A" w:rsidRPr="009D587C" w:rsidRDefault="006A288A" w:rsidP="00DF1B34">
      <w:pPr>
        <w:spacing w:before="480"/>
        <w:jc w:val="both"/>
        <w:rPr>
          <w:rFonts w:asciiTheme="minorHAnsi" w:hAnsiTheme="minorHAnsi" w:cstheme="minorHAnsi"/>
          <w:color w:val="000000" w:themeColor="text1"/>
          <w:sz w:val="22"/>
          <w:szCs w:val="22"/>
        </w:rPr>
      </w:pPr>
      <w:r w:rsidRPr="009D587C">
        <w:rPr>
          <w:rFonts w:asciiTheme="minorHAnsi" w:hAnsiTheme="minorHAnsi" w:cstheme="minorHAnsi"/>
          <w:color w:val="000000" w:themeColor="text1"/>
          <w:sz w:val="22"/>
          <w:szCs w:val="22"/>
        </w:rPr>
        <w:t xml:space="preserve">Boxall H, Morgan A &amp; Brown, R. (2020). </w:t>
      </w:r>
      <w:r w:rsidRPr="00C3686E">
        <w:rPr>
          <w:rFonts w:asciiTheme="minorHAnsi" w:hAnsiTheme="minorHAnsi" w:cstheme="minorHAnsi"/>
          <w:color w:val="000000" w:themeColor="text1"/>
          <w:sz w:val="22"/>
          <w:szCs w:val="22"/>
        </w:rPr>
        <w:t>The prevalence of domestic violence among women during the COVID-19 pandemic</w:t>
      </w:r>
      <w:r w:rsidRPr="009D587C">
        <w:rPr>
          <w:rFonts w:asciiTheme="minorHAnsi" w:hAnsiTheme="minorHAnsi" w:cstheme="minorHAnsi"/>
          <w:color w:val="000000" w:themeColor="text1"/>
          <w:sz w:val="22"/>
          <w:szCs w:val="22"/>
        </w:rPr>
        <w:t xml:space="preserve">. Statistical Bulletin no. 28. Canberra: Australian Institute of Criminology. </w:t>
      </w:r>
      <w:hyperlink r:id="rId25" w:history="1">
        <w:r w:rsidRPr="009D587C">
          <w:rPr>
            <w:rFonts w:asciiTheme="minorHAnsi" w:hAnsiTheme="minorHAnsi" w:cstheme="minorHAnsi"/>
            <w:color w:val="000000" w:themeColor="text1"/>
            <w:sz w:val="22"/>
            <w:szCs w:val="22"/>
          </w:rPr>
          <w:t>https://www.aic.gov.au/publications/sb/sb28</w:t>
        </w:r>
      </w:hyperlink>
    </w:p>
    <w:p w14:paraId="19106D3D" w14:textId="77777777" w:rsidR="006A288A" w:rsidRPr="00C3686E" w:rsidRDefault="006A288A" w:rsidP="00DF1B34">
      <w:pPr>
        <w:spacing w:before="480"/>
        <w:jc w:val="both"/>
        <w:rPr>
          <w:rFonts w:asciiTheme="minorHAnsi" w:hAnsiTheme="minorHAnsi" w:cstheme="minorHAnsi"/>
          <w:color w:val="000000" w:themeColor="text1"/>
          <w:sz w:val="22"/>
          <w:szCs w:val="22"/>
        </w:rPr>
      </w:pPr>
      <w:r w:rsidRPr="00C3686E">
        <w:rPr>
          <w:rFonts w:asciiTheme="minorHAnsi" w:hAnsiTheme="minorHAnsi" w:cstheme="minorHAnsi"/>
          <w:color w:val="000000" w:themeColor="text1"/>
          <w:sz w:val="22"/>
          <w:szCs w:val="22"/>
        </w:rPr>
        <w:t>Crime Statistics Agency (2019). Alleged Offences Against the Person by Family Incident Flag, by Municipality.</w:t>
      </w:r>
    </w:p>
    <w:p w14:paraId="263B858B" w14:textId="77777777" w:rsidR="006A288A" w:rsidRPr="009D587C" w:rsidRDefault="006A288A" w:rsidP="00DF1B34">
      <w:pPr>
        <w:spacing w:before="480"/>
        <w:jc w:val="both"/>
        <w:rPr>
          <w:rFonts w:asciiTheme="minorHAnsi" w:hAnsiTheme="minorHAnsi" w:cstheme="minorHAnsi"/>
          <w:color w:val="000000" w:themeColor="text1"/>
          <w:sz w:val="22"/>
          <w:szCs w:val="22"/>
        </w:rPr>
      </w:pPr>
      <w:proofErr w:type="spellStart"/>
      <w:r w:rsidRPr="009D587C">
        <w:rPr>
          <w:rFonts w:asciiTheme="minorHAnsi" w:hAnsiTheme="minorHAnsi" w:cstheme="minorHAnsi"/>
          <w:color w:val="000000" w:themeColor="text1"/>
          <w:sz w:val="22"/>
          <w:szCs w:val="22"/>
        </w:rPr>
        <w:t>deVissier</w:t>
      </w:r>
      <w:proofErr w:type="spellEnd"/>
      <w:r w:rsidRPr="009D587C">
        <w:rPr>
          <w:rFonts w:asciiTheme="minorHAnsi" w:hAnsiTheme="minorHAnsi" w:cstheme="minorHAnsi"/>
          <w:color w:val="000000" w:themeColor="text1"/>
          <w:sz w:val="22"/>
          <w:szCs w:val="22"/>
        </w:rPr>
        <w:t xml:space="preserve">, O., Badcock, P.B., </w:t>
      </w:r>
      <w:proofErr w:type="spellStart"/>
      <w:r w:rsidRPr="009D587C">
        <w:rPr>
          <w:rFonts w:asciiTheme="minorHAnsi" w:hAnsiTheme="minorHAnsi" w:cstheme="minorHAnsi"/>
          <w:color w:val="000000" w:themeColor="text1"/>
          <w:sz w:val="22"/>
          <w:szCs w:val="22"/>
        </w:rPr>
        <w:t>Rissel</w:t>
      </w:r>
      <w:proofErr w:type="spellEnd"/>
      <w:r w:rsidRPr="009D587C">
        <w:rPr>
          <w:rFonts w:asciiTheme="minorHAnsi" w:hAnsiTheme="minorHAnsi" w:cstheme="minorHAnsi"/>
          <w:color w:val="000000" w:themeColor="text1"/>
          <w:sz w:val="22"/>
          <w:szCs w:val="22"/>
        </w:rPr>
        <w:t xml:space="preserve">, C.E., </w:t>
      </w:r>
      <w:proofErr w:type="spellStart"/>
      <w:r w:rsidRPr="009D587C">
        <w:rPr>
          <w:rFonts w:asciiTheme="minorHAnsi" w:hAnsiTheme="minorHAnsi" w:cstheme="minorHAnsi"/>
          <w:color w:val="000000" w:themeColor="text1"/>
          <w:sz w:val="22"/>
          <w:szCs w:val="22"/>
        </w:rPr>
        <w:t>Richters</w:t>
      </w:r>
      <w:proofErr w:type="spellEnd"/>
      <w:r w:rsidRPr="009D587C">
        <w:rPr>
          <w:rFonts w:asciiTheme="minorHAnsi" w:hAnsiTheme="minorHAnsi" w:cstheme="minorHAnsi"/>
          <w:color w:val="000000" w:themeColor="text1"/>
          <w:sz w:val="22"/>
          <w:szCs w:val="22"/>
        </w:rPr>
        <w:t xml:space="preserve">, J. Smith, A.M.A., </w:t>
      </w:r>
      <w:proofErr w:type="spellStart"/>
      <w:r w:rsidRPr="009D587C">
        <w:rPr>
          <w:rFonts w:asciiTheme="minorHAnsi" w:hAnsiTheme="minorHAnsi" w:cstheme="minorHAnsi"/>
          <w:color w:val="000000" w:themeColor="text1"/>
          <w:sz w:val="22"/>
          <w:szCs w:val="22"/>
        </w:rPr>
        <w:t>Grulich</w:t>
      </w:r>
      <w:proofErr w:type="spellEnd"/>
      <w:r w:rsidRPr="009D587C">
        <w:rPr>
          <w:rFonts w:asciiTheme="minorHAnsi" w:hAnsiTheme="minorHAnsi" w:cstheme="minorHAnsi"/>
          <w:color w:val="000000" w:themeColor="text1"/>
          <w:sz w:val="22"/>
          <w:szCs w:val="22"/>
        </w:rPr>
        <w:t xml:space="preserve">, A.E. and Simpson, J.M. (2020). Experiences of sexual coercion in a representative sample of adults: the Second Australian Study of Health and Relationships. </w:t>
      </w:r>
      <w:r w:rsidRPr="00355388">
        <w:rPr>
          <w:rFonts w:asciiTheme="minorHAnsi" w:hAnsiTheme="minorHAnsi" w:cstheme="minorHAnsi"/>
          <w:color w:val="000000" w:themeColor="text1"/>
          <w:sz w:val="22"/>
          <w:szCs w:val="22"/>
          <w:u w:val="single"/>
        </w:rPr>
        <w:t>Sex Health</w:t>
      </w:r>
      <w:r w:rsidRPr="009D587C">
        <w:rPr>
          <w:rFonts w:asciiTheme="minorHAnsi" w:hAnsiTheme="minorHAnsi" w:cstheme="minorHAnsi"/>
          <w:color w:val="000000" w:themeColor="text1"/>
          <w:sz w:val="22"/>
          <w:szCs w:val="22"/>
        </w:rPr>
        <w:t>. Nov. Vol. 11, No.5, pp. 472-80</w:t>
      </w:r>
    </w:p>
    <w:p w14:paraId="547EEACE" w14:textId="3853CF82" w:rsidR="006A288A" w:rsidRPr="009D587C" w:rsidRDefault="006A288A" w:rsidP="00DF1B34">
      <w:pPr>
        <w:spacing w:before="480"/>
        <w:jc w:val="both"/>
        <w:rPr>
          <w:rFonts w:asciiTheme="minorHAnsi" w:hAnsiTheme="minorHAnsi" w:cstheme="minorHAnsi"/>
          <w:color w:val="000000" w:themeColor="text1"/>
          <w:sz w:val="22"/>
          <w:szCs w:val="22"/>
        </w:rPr>
      </w:pPr>
      <w:proofErr w:type="spellStart"/>
      <w:r w:rsidRPr="009D587C">
        <w:rPr>
          <w:rFonts w:asciiTheme="minorHAnsi" w:hAnsiTheme="minorHAnsi" w:cstheme="minorHAnsi"/>
          <w:color w:val="000000" w:themeColor="text1"/>
          <w:sz w:val="22"/>
          <w:szCs w:val="22"/>
        </w:rPr>
        <w:t>deVissier</w:t>
      </w:r>
      <w:proofErr w:type="spellEnd"/>
      <w:r w:rsidRPr="009D587C">
        <w:rPr>
          <w:rFonts w:asciiTheme="minorHAnsi" w:hAnsiTheme="minorHAnsi" w:cstheme="minorHAnsi"/>
          <w:color w:val="000000" w:themeColor="text1"/>
          <w:sz w:val="22"/>
          <w:szCs w:val="22"/>
        </w:rPr>
        <w:t xml:space="preserve">, O., Smith, A.M., </w:t>
      </w:r>
      <w:proofErr w:type="spellStart"/>
      <w:r w:rsidRPr="009D587C">
        <w:rPr>
          <w:rFonts w:asciiTheme="minorHAnsi" w:hAnsiTheme="minorHAnsi" w:cstheme="minorHAnsi"/>
          <w:color w:val="000000" w:themeColor="text1"/>
          <w:sz w:val="22"/>
          <w:szCs w:val="22"/>
        </w:rPr>
        <w:t>Rissel</w:t>
      </w:r>
      <w:proofErr w:type="spellEnd"/>
      <w:r w:rsidRPr="009D587C">
        <w:rPr>
          <w:rFonts w:asciiTheme="minorHAnsi" w:hAnsiTheme="minorHAnsi" w:cstheme="minorHAnsi"/>
          <w:color w:val="000000" w:themeColor="text1"/>
          <w:sz w:val="22"/>
          <w:szCs w:val="22"/>
        </w:rPr>
        <w:t xml:space="preserve">, C.E., </w:t>
      </w:r>
      <w:proofErr w:type="spellStart"/>
      <w:r w:rsidRPr="009D587C">
        <w:rPr>
          <w:rFonts w:asciiTheme="minorHAnsi" w:hAnsiTheme="minorHAnsi" w:cstheme="minorHAnsi"/>
          <w:color w:val="000000" w:themeColor="text1"/>
          <w:sz w:val="22"/>
          <w:szCs w:val="22"/>
        </w:rPr>
        <w:t>Richters</w:t>
      </w:r>
      <w:proofErr w:type="spellEnd"/>
      <w:r w:rsidRPr="009D587C">
        <w:rPr>
          <w:rFonts w:asciiTheme="minorHAnsi" w:hAnsiTheme="minorHAnsi" w:cstheme="minorHAnsi"/>
          <w:color w:val="000000" w:themeColor="text1"/>
          <w:sz w:val="22"/>
          <w:szCs w:val="22"/>
        </w:rPr>
        <w:t xml:space="preserve">, J. and </w:t>
      </w:r>
      <w:proofErr w:type="spellStart"/>
      <w:r w:rsidRPr="009D587C">
        <w:rPr>
          <w:rFonts w:asciiTheme="minorHAnsi" w:hAnsiTheme="minorHAnsi" w:cstheme="minorHAnsi"/>
          <w:color w:val="000000" w:themeColor="text1"/>
          <w:sz w:val="22"/>
          <w:szCs w:val="22"/>
        </w:rPr>
        <w:t>Grulich</w:t>
      </w:r>
      <w:proofErr w:type="spellEnd"/>
      <w:r w:rsidRPr="009D587C">
        <w:rPr>
          <w:rFonts w:asciiTheme="minorHAnsi" w:hAnsiTheme="minorHAnsi" w:cstheme="minorHAnsi"/>
          <w:color w:val="000000" w:themeColor="text1"/>
          <w:sz w:val="22"/>
          <w:szCs w:val="22"/>
        </w:rPr>
        <w:t xml:space="preserve">, A.E. (2003). Sex in Australia: Experiences of Sexual Coercion Among a Representative Sample of Adults. </w:t>
      </w:r>
      <w:r w:rsidRPr="00355388">
        <w:rPr>
          <w:rFonts w:asciiTheme="minorHAnsi" w:hAnsiTheme="minorHAnsi" w:cstheme="minorHAnsi"/>
          <w:color w:val="000000" w:themeColor="text1"/>
          <w:sz w:val="22"/>
          <w:szCs w:val="22"/>
          <w:u w:val="single"/>
        </w:rPr>
        <w:t>Australia and New Zealand Journal of Public Health 2003</w:t>
      </w:r>
      <w:r w:rsidRPr="009D587C">
        <w:rPr>
          <w:rFonts w:asciiTheme="minorHAnsi" w:hAnsiTheme="minorHAnsi" w:cstheme="minorHAnsi"/>
          <w:color w:val="000000" w:themeColor="text1"/>
          <w:sz w:val="22"/>
          <w:szCs w:val="22"/>
        </w:rPr>
        <w:t>. Vol. 27(2), pp. 198-203</w:t>
      </w:r>
    </w:p>
    <w:p w14:paraId="3B443270" w14:textId="77777777" w:rsidR="006A288A" w:rsidRPr="009D587C" w:rsidRDefault="006A288A" w:rsidP="00DF1B34">
      <w:pPr>
        <w:spacing w:before="480"/>
        <w:jc w:val="both"/>
        <w:rPr>
          <w:rFonts w:asciiTheme="minorHAnsi" w:hAnsiTheme="minorHAnsi" w:cstheme="minorHAnsi"/>
          <w:color w:val="000000" w:themeColor="text1"/>
          <w:sz w:val="22"/>
          <w:szCs w:val="22"/>
        </w:rPr>
      </w:pPr>
      <w:r>
        <w:rPr>
          <w:rFonts w:asciiTheme="minorHAnsi" w:hAnsiTheme="minorHAnsi" w:cstheme="minorHAnsi"/>
          <w:sz w:val="22"/>
          <w:szCs w:val="22"/>
          <w:lang w:val="en-AU"/>
        </w:rPr>
        <w:t xml:space="preserve">Johnston, M. and Bennett, E. (2015). </w:t>
      </w:r>
      <w:r w:rsidRPr="00355388">
        <w:rPr>
          <w:rFonts w:asciiTheme="minorHAnsi" w:hAnsiTheme="minorHAnsi" w:cstheme="minorHAnsi"/>
          <w:sz w:val="22"/>
          <w:szCs w:val="22"/>
          <w:u w:val="single"/>
          <w:lang w:val="en-AU"/>
        </w:rPr>
        <w:t>Everyday Sexism: Women’s Experiences of Street Harassment</w:t>
      </w:r>
      <w:r>
        <w:rPr>
          <w:rFonts w:asciiTheme="minorHAnsi" w:hAnsiTheme="minorHAnsi" w:cstheme="minorHAnsi"/>
          <w:sz w:val="22"/>
          <w:szCs w:val="22"/>
          <w:lang w:val="en-AU"/>
        </w:rPr>
        <w:t>. The Australia Institute</w:t>
      </w:r>
    </w:p>
    <w:p w14:paraId="2402BB5A" w14:textId="77777777" w:rsidR="006A288A" w:rsidRPr="009D587C" w:rsidRDefault="006A288A" w:rsidP="00DF1B34">
      <w:pPr>
        <w:spacing w:before="480"/>
        <w:jc w:val="both"/>
        <w:rPr>
          <w:rFonts w:asciiTheme="minorHAnsi" w:hAnsiTheme="minorHAnsi" w:cstheme="minorHAnsi"/>
          <w:color w:val="000000" w:themeColor="text1"/>
          <w:sz w:val="22"/>
          <w:szCs w:val="22"/>
        </w:rPr>
      </w:pPr>
      <w:r w:rsidRPr="009D587C">
        <w:rPr>
          <w:rFonts w:asciiTheme="minorHAnsi" w:hAnsiTheme="minorHAnsi" w:cstheme="minorHAnsi"/>
          <w:color w:val="000000" w:themeColor="text1"/>
          <w:sz w:val="22"/>
          <w:szCs w:val="22"/>
        </w:rPr>
        <w:t xml:space="preserve">Our Watch (2015). </w:t>
      </w:r>
      <w:r w:rsidRPr="00355388">
        <w:rPr>
          <w:rFonts w:asciiTheme="minorHAnsi" w:hAnsiTheme="minorHAnsi" w:cstheme="minorHAnsi"/>
          <w:color w:val="000000" w:themeColor="text1"/>
          <w:sz w:val="22"/>
          <w:szCs w:val="22"/>
          <w:u w:val="single"/>
        </w:rPr>
        <w:t>Change the Story: a shared framework for the primary prevention of violence against women and their children in Australia</w:t>
      </w:r>
      <w:r w:rsidRPr="009D587C">
        <w:rPr>
          <w:rFonts w:asciiTheme="minorHAnsi" w:hAnsiTheme="minorHAnsi" w:cstheme="minorHAnsi"/>
          <w:color w:val="000000" w:themeColor="text1"/>
          <w:sz w:val="22"/>
          <w:szCs w:val="22"/>
        </w:rPr>
        <w:t>. Our Watch, VicHealth and ANROWS</w:t>
      </w:r>
    </w:p>
    <w:p w14:paraId="17DA2F5C" w14:textId="77777777" w:rsidR="006A288A" w:rsidRDefault="006A288A" w:rsidP="00DF1B34">
      <w:pPr>
        <w:spacing w:before="480"/>
        <w:jc w:val="both"/>
        <w:rPr>
          <w:rFonts w:asciiTheme="minorHAnsi" w:hAnsiTheme="minorHAnsi" w:cstheme="minorHAnsi"/>
          <w:color w:val="000000" w:themeColor="text1"/>
          <w:sz w:val="22"/>
          <w:szCs w:val="22"/>
        </w:rPr>
      </w:pPr>
      <w:r w:rsidRPr="009D587C">
        <w:rPr>
          <w:rFonts w:asciiTheme="minorHAnsi" w:hAnsiTheme="minorHAnsi" w:cstheme="minorHAnsi"/>
          <w:color w:val="000000" w:themeColor="text1"/>
          <w:sz w:val="22"/>
          <w:szCs w:val="22"/>
        </w:rPr>
        <w:t xml:space="preserve">Our Watch (2018). </w:t>
      </w:r>
      <w:r w:rsidRPr="00355388">
        <w:rPr>
          <w:rFonts w:asciiTheme="minorHAnsi" w:hAnsiTheme="minorHAnsi" w:cstheme="minorHAnsi"/>
          <w:color w:val="000000" w:themeColor="text1"/>
          <w:sz w:val="22"/>
          <w:szCs w:val="22"/>
          <w:u w:val="single"/>
        </w:rPr>
        <w:t>Changing the Picture: a national resource to support the prevention of violence against Aboriginal and Torres Strait Islander women and their children</w:t>
      </w:r>
      <w:r w:rsidRPr="009D587C">
        <w:rPr>
          <w:rFonts w:asciiTheme="minorHAnsi" w:hAnsiTheme="minorHAnsi" w:cstheme="minorHAnsi"/>
          <w:color w:val="000000" w:themeColor="text1"/>
          <w:sz w:val="22"/>
          <w:szCs w:val="22"/>
        </w:rPr>
        <w:t>. Our Watch, Melbourne</w:t>
      </w:r>
    </w:p>
    <w:p w14:paraId="285790B9" w14:textId="0F282D53" w:rsidR="006A288A" w:rsidRDefault="006A288A" w:rsidP="00DF1B34">
      <w:pPr>
        <w:spacing w:before="480"/>
        <w:jc w:val="both"/>
        <w:rPr>
          <w:rFonts w:asciiTheme="minorHAnsi" w:hAnsiTheme="minorHAnsi" w:cstheme="minorHAnsi"/>
          <w:sz w:val="22"/>
          <w:szCs w:val="22"/>
          <w:lang w:val="en-AU"/>
        </w:rPr>
      </w:pPr>
      <w:r>
        <w:rPr>
          <w:rFonts w:asciiTheme="minorHAnsi" w:hAnsiTheme="minorHAnsi" w:cstheme="minorHAnsi"/>
          <w:color w:val="000000" w:themeColor="text1"/>
          <w:sz w:val="22"/>
          <w:szCs w:val="22"/>
        </w:rPr>
        <w:t xml:space="preserve">VicHealth (2014). </w:t>
      </w:r>
      <w:r w:rsidRPr="00355388">
        <w:rPr>
          <w:rFonts w:asciiTheme="minorHAnsi" w:hAnsiTheme="minorHAnsi" w:cstheme="minorHAnsi"/>
          <w:sz w:val="22"/>
          <w:szCs w:val="22"/>
          <w:u w:val="single"/>
          <w:lang w:val="en-AU"/>
        </w:rPr>
        <w:t>Community Attitudes Towards Violence Against Women 2013</w:t>
      </w:r>
      <w:r>
        <w:rPr>
          <w:rFonts w:asciiTheme="minorHAnsi" w:hAnsiTheme="minorHAnsi" w:cstheme="minorHAnsi"/>
          <w:sz w:val="22"/>
          <w:szCs w:val="22"/>
          <w:lang w:val="en-AU"/>
        </w:rPr>
        <w:t>. VicHealth, Melbourne</w:t>
      </w:r>
    </w:p>
    <w:sectPr w:rsidR="006A288A" w:rsidSect="008C61EB">
      <w:footerReference w:type="default" r:id="rId26"/>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E6811F" w14:textId="77777777" w:rsidR="00176008" w:rsidRDefault="00176008" w:rsidP="008C61EB">
      <w:r>
        <w:separator/>
      </w:r>
    </w:p>
  </w:endnote>
  <w:endnote w:type="continuationSeparator" w:id="0">
    <w:p w14:paraId="22CFD011" w14:textId="77777777" w:rsidR="00176008" w:rsidRDefault="00176008" w:rsidP="008C61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sz w:val="18"/>
        <w:szCs w:val="18"/>
      </w:rPr>
      <w:id w:val="-277877521"/>
      <w:docPartObj>
        <w:docPartGallery w:val="Page Numbers (Bottom of Page)"/>
        <w:docPartUnique/>
      </w:docPartObj>
    </w:sdtPr>
    <w:sdtEndPr>
      <w:rPr>
        <w:color w:val="7F7F7F" w:themeColor="background1" w:themeShade="7F"/>
        <w:spacing w:val="60"/>
      </w:rPr>
    </w:sdtEndPr>
    <w:sdtContent>
      <w:p w14:paraId="438B28D9" w14:textId="05A923A4" w:rsidR="00891AF7" w:rsidRPr="00891AF7" w:rsidRDefault="00891AF7" w:rsidP="00891AF7">
        <w:pPr>
          <w:pStyle w:val="Footer"/>
          <w:pBdr>
            <w:top w:val="single" w:sz="4" w:space="1" w:color="D9D9D9" w:themeColor="background1" w:themeShade="D9"/>
          </w:pBdr>
          <w:rPr>
            <w:rFonts w:asciiTheme="minorHAnsi" w:hAnsiTheme="minorHAnsi" w:cstheme="minorHAnsi"/>
            <w:b/>
            <w:bCs/>
            <w:sz w:val="18"/>
            <w:szCs w:val="18"/>
          </w:rPr>
        </w:pPr>
        <w:r w:rsidRPr="00891AF7">
          <w:rPr>
            <w:rFonts w:asciiTheme="minorHAnsi" w:hAnsiTheme="minorHAnsi" w:cstheme="minorHAnsi"/>
            <w:sz w:val="18"/>
            <w:szCs w:val="18"/>
          </w:rPr>
          <w:fldChar w:fldCharType="begin"/>
        </w:r>
        <w:r w:rsidRPr="00891AF7">
          <w:rPr>
            <w:rFonts w:asciiTheme="minorHAnsi" w:hAnsiTheme="minorHAnsi" w:cstheme="minorHAnsi"/>
            <w:sz w:val="18"/>
            <w:szCs w:val="18"/>
          </w:rPr>
          <w:instrText xml:space="preserve"> PAGE   \* MERGEFORMAT </w:instrText>
        </w:r>
        <w:r w:rsidRPr="00891AF7">
          <w:rPr>
            <w:rFonts w:asciiTheme="minorHAnsi" w:hAnsiTheme="minorHAnsi" w:cstheme="minorHAnsi"/>
            <w:sz w:val="18"/>
            <w:szCs w:val="18"/>
          </w:rPr>
          <w:fldChar w:fldCharType="separate"/>
        </w:r>
        <w:r w:rsidRPr="00891AF7">
          <w:rPr>
            <w:rFonts w:asciiTheme="minorHAnsi" w:hAnsiTheme="minorHAnsi" w:cstheme="minorHAnsi"/>
            <w:b/>
            <w:bCs/>
            <w:noProof/>
            <w:sz w:val="18"/>
            <w:szCs w:val="18"/>
          </w:rPr>
          <w:t>2</w:t>
        </w:r>
        <w:r w:rsidRPr="00891AF7">
          <w:rPr>
            <w:rFonts w:asciiTheme="minorHAnsi" w:hAnsiTheme="minorHAnsi" w:cstheme="minorHAnsi"/>
            <w:b/>
            <w:bCs/>
            <w:noProof/>
            <w:sz w:val="18"/>
            <w:szCs w:val="18"/>
          </w:rPr>
          <w:fldChar w:fldCharType="end"/>
        </w:r>
        <w:r w:rsidRPr="00891AF7">
          <w:rPr>
            <w:rFonts w:asciiTheme="minorHAnsi" w:hAnsiTheme="minorHAnsi" w:cstheme="minorHAnsi"/>
            <w:b/>
            <w:bCs/>
            <w:sz w:val="18"/>
            <w:szCs w:val="18"/>
          </w:rPr>
          <w:t xml:space="preserve"> | </w:t>
        </w:r>
        <w:r w:rsidRPr="00891AF7">
          <w:rPr>
            <w:rFonts w:asciiTheme="minorHAnsi" w:hAnsiTheme="minorHAnsi" w:cstheme="minorHAnsi"/>
            <w:color w:val="7F7F7F" w:themeColor="background1" w:themeShade="7F"/>
            <w:spacing w:val="60"/>
            <w:sz w:val="18"/>
            <w:szCs w:val="18"/>
          </w:rPr>
          <w:t>Page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642AA7" w14:textId="77777777" w:rsidR="00176008" w:rsidRDefault="00176008" w:rsidP="008C61EB">
      <w:r>
        <w:separator/>
      </w:r>
    </w:p>
  </w:footnote>
  <w:footnote w:type="continuationSeparator" w:id="0">
    <w:p w14:paraId="13F16290" w14:textId="77777777" w:rsidR="00176008" w:rsidRDefault="00176008" w:rsidP="008C61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C354D"/>
    <w:multiLevelType w:val="hybridMultilevel"/>
    <w:tmpl w:val="1ADCA8E4"/>
    <w:lvl w:ilvl="0" w:tplc="E7EE36CA">
      <w:start w:val="15"/>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D2D0348"/>
    <w:multiLevelType w:val="hybridMultilevel"/>
    <w:tmpl w:val="5C9E6E30"/>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DC43B07"/>
    <w:multiLevelType w:val="hybridMultilevel"/>
    <w:tmpl w:val="93627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66E21F0"/>
    <w:multiLevelType w:val="hybridMultilevel"/>
    <w:tmpl w:val="690E95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D217FC3"/>
    <w:multiLevelType w:val="hybridMultilevel"/>
    <w:tmpl w:val="858CC2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F7E2192"/>
    <w:multiLevelType w:val="hybridMultilevel"/>
    <w:tmpl w:val="DBDC2FF8"/>
    <w:lvl w:ilvl="0" w:tplc="0C090001">
      <w:start w:val="24"/>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682850060">
    <w:abstractNumId w:val="5"/>
  </w:num>
  <w:num w:numId="2" w16cid:durableId="364258845">
    <w:abstractNumId w:val="2"/>
  </w:num>
  <w:num w:numId="3" w16cid:durableId="1425759900">
    <w:abstractNumId w:val="1"/>
  </w:num>
  <w:num w:numId="4" w16cid:durableId="2061509854">
    <w:abstractNumId w:val="4"/>
  </w:num>
  <w:num w:numId="5" w16cid:durableId="929240327">
    <w:abstractNumId w:val="3"/>
  </w:num>
  <w:num w:numId="6" w16cid:durableId="13958152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61EB"/>
    <w:rsid w:val="000415CE"/>
    <w:rsid w:val="000423DD"/>
    <w:rsid w:val="000475A2"/>
    <w:rsid w:val="0004779F"/>
    <w:rsid w:val="00050587"/>
    <w:rsid w:val="000526CD"/>
    <w:rsid w:val="00071BA2"/>
    <w:rsid w:val="0008439E"/>
    <w:rsid w:val="000B777B"/>
    <w:rsid w:val="000F6B24"/>
    <w:rsid w:val="0010784D"/>
    <w:rsid w:val="00124F38"/>
    <w:rsid w:val="00131F8C"/>
    <w:rsid w:val="00133AC3"/>
    <w:rsid w:val="00134277"/>
    <w:rsid w:val="00150EF4"/>
    <w:rsid w:val="00176008"/>
    <w:rsid w:val="00185A24"/>
    <w:rsid w:val="0019655D"/>
    <w:rsid w:val="001A427E"/>
    <w:rsid w:val="001B22D8"/>
    <w:rsid w:val="001B483B"/>
    <w:rsid w:val="001C1E35"/>
    <w:rsid w:val="001C5A43"/>
    <w:rsid w:val="0021444E"/>
    <w:rsid w:val="00221BA0"/>
    <w:rsid w:val="002247B0"/>
    <w:rsid w:val="002275EF"/>
    <w:rsid w:val="002461EF"/>
    <w:rsid w:val="00283005"/>
    <w:rsid w:val="002935FC"/>
    <w:rsid w:val="002A2E52"/>
    <w:rsid w:val="002C5FC5"/>
    <w:rsid w:val="00310637"/>
    <w:rsid w:val="003125D6"/>
    <w:rsid w:val="003418DE"/>
    <w:rsid w:val="00354AE2"/>
    <w:rsid w:val="00355388"/>
    <w:rsid w:val="003562F6"/>
    <w:rsid w:val="00377E7A"/>
    <w:rsid w:val="003836C5"/>
    <w:rsid w:val="003836F3"/>
    <w:rsid w:val="00394059"/>
    <w:rsid w:val="0039715E"/>
    <w:rsid w:val="003A4FF4"/>
    <w:rsid w:val="003B230B"/>
    <w:rsid w:val="003F11B9"/>
    <w:rsid w:val="00405976"/>
    <w:rsid w:val="00412A77"/>
    <w:rsid w:val="00424D7C"/>
    <w:rsid w:val="00454F52"/>
    <w:rsid w:val="00457C12"/>
    <w:rsid w:val="00467C0E"/>
    <w:rsid w:val="00482A05"/>
    <w:rsid w:val="00493F8F"/>
    <w:rsid w:val="004C18B3"/>
    <w:rsid w:val="00513AF6"/>
    <w:rsid w:val="005429EF"/>
    <w:rsid w:val="00550005"/>
    <w:rsid w:val="00556D81"/>
    <w:rsid w:val="00562732"/>
    <w:rsid w:val="00580797"/>
    <w:rsid w:val="005A1B24"/>
    <w:rsid w:val="005F522D"/>
    <w:rsid w:val="005F63BE"/>
    <w:rsid w:val="006054F4"/>
    <w:rsid w:val="006348F5"/>
    <w:rsid w:val="00634F08"/>
    <w:rsid w:val="00642FFE"/>
    <w:rsid w:val="00680641"/>
    <w:rsid w:val="00691DB7"/>
    <w:rsid w:val="0069401B"/>
    <w:rsid w:val="006A288A"/>
    <w:rsid w:val="006B7F24"/>
    <w:rsid w:val="006C3FAB"/>
    <w:rsid w:val="006D51DF"/>
    <w:rsid w:val="007031AB"/>
    <w:rsid w:val="00706461"/>
    <w:rsid w:val="007527F5"/>
    <w:rsid w:val="00786E3A"/>
    <w:rsid w:val="007A6E8F"/>
    <w:rsid w:val="007B25B3"/>
    <w:rsid w:val="007B5270"/>
    <w:rsid w:val="007B63C2"/>
    <w:rsid w:val="00836251"/>
    <w:rsid w:val="008366C0"/>
    <w:rsid w:val="008451C0"/>
    <w:rsid w:val="00845324"/>
    <w:rsid w:val="00845F9C"/>
    <w:rsid w:val="00863372"/>
    <w:rsid w:val="00875CFD"/>
    <w:rsid w:val="0088278E"/>
    <w:rsid w:val="00891AF7"/>
    <w:rsid w:val="00894B04"/>
    <w:rsid w:val="008C61EB"/>
    <w:rsid w:val="008C6798"/>
    <w:rsid w:val="008D0ABC"/>
    <w:rsid w:val="008E2194"/>
    <w:rsid w:val="008E4AC0"/>
    <w:rsid w:val="008F3786"/>
    <w:rsid w:val="009131C5"/>
    <w:rsid w:val="0091465B"/>
    <w:rsid w:val="00916BFA"/>
    <w:rsid w:val="00956C93"/>
    <w:rsid w:val="009A139A"/>
    <w:rsid w:val="009A73F4"/>
    <w:rsid w:val="009D587C"/>
    <w:rsid w:val="009D5FEF"/>
    <w:rsid w:val="00A55434"/>
    <w:rsid w:val="00A61714"/>
    <w:rsid w:val="00A6344C"/>
    <w:rsid w:val="00A80252"/>
    <w:rsid w:val="00A82B65"/>
    <w:rsid w:val="00AA4464"/>
    <w:rsid w:val="00AA52FB"/>
    <w:rsid w:val="00AC5D68"/>
    <w:rsid w:val="00AD5896"/>
    <w:rsid w:val="00AD6A75"/>
    <w:rsid w:val="00AE05EA"/>
    <w:rsid w:val="00AE21B3"/>
    <w:rsid w:val="00B06367"/>
    <w:rsid w:val="00B11385"/>
    <w:rsid w:val="00B163FB"/>
    <w:rsid w:val="00B17DBC"/>
    <w:rsid w:val="00B210D9"/>
    <w:rsid w:val="00B32C63"/>
    <w:rsid w:val="00B50B49"/>
    <w:rsid w:val="00B577BD"/>
    <w:rsid w:val="00B71B28"/>
    <w:rsid w:val="00B81B12"/>
    <w:rsid w:val="00B90865"/>
    <w:rsid w:val="00B920AA"/>
    <w:rsid w:val="00BB48F5"/>
    <w:rsid w:val="00BC0492"/>
    <w:rsid w:val="00BF4130"/>
    <w:rsid w:val="00C016DA"/>
    <w:rsid w:val="00C21FE3"/>
    <w:rsid w:val="00C33D36"/>
    <w:rsid w:val="00C3686E"/>
    <w:rsid w:val="00C478BD"/>
    <w:rsid w:val="00C649A2"/>
    <w:rsid w:val="00C666B3"/>
    <w:rsid w:val="00C95566"/>
    <w:rsid w:val="00CA070F"/>
    <w:rsid w:val="00CB721D"/>
    <w:rsid w:val="00CD2F55"/>
    <w:rsid w:val="00CF5154"/>
    <w:rsid w:val="00D22EDC"/>
    <w:rsid w:val="00D230D5"/>
    <w:rsid w:val="00D36120"/>
    <w:rsid w:val="00D60F5D"/>
    <w:rsid w:val="00D61372"/>
    <w:rsid w:val="00D615FF"/>
    <w:rsid w:val="00D675CA"/>
    <w:rsid w:val="00D7100C"/>
    <w:rsid w:val="00D766B9"/>
    <w:rsid w:val="00D875C7"/>
    <w:rsid w:val="00DD2E29"/>
    <w:rsid w:val="00DD518A"/>
    <w:rsid w:val="00DD7046"/>
    <w:rsid w:val="00DE7438"/>
    <w:rsid w:val="00DF1B34"/>
    <w:rsid w:val="00DF2F69"/>
    <w:rsid w:val="00DF5E4C"/>
    <w:rsid w:val="00E12CB3"/>
    <w:rsid w:val="00E571EB"/>
    <w:rsid w:val="00E61864"/>
    <w:rsid w:val="00E911E6"/>
    <w:rsid w:val="00E935FF"/>
    <w:rsid w:val="00EA7D39"/>
    <w:rsid w:val="00EE2EE8"/>
    <w:rsid w:val="00EE5671"/>
    <w:rsid w:val="00EF7111"/>
    <w:rsid w:val="00F01E7D"/>
    <w:rsid w:val="00F1013F"/>
    <w:rsid w:val="00F16258"/>
    <w:rsid w:val="00F2702F"/>
    <w:rsid w:val="00F36531"/>
    <w:rsid w:val="00F42177"/>
    <w:rsid w:val="00F520F8"/>
    <w:rsid w:val="00F66851"/>
    <w:rsid w:val="00F945CB"/>
    <w:rsid w:val="00FA14D6"/>
    <w:rsid w:val="00FA5FF9"/>
    <w:rsid w:val="00FC5DC1"/>
    <w:rsid w:val="00FD439D"/>
    <w:rsid w:val="00FE5A45"/>
    <w:rsid w:val="00FF03D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71376"/>
  <w15:docId w15:val="{493B9560-7F50-448A-9615-231FC6A7D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1EB"/>
    <w:rPr>
      <w:rFonts w:ascii="Times New Roman" w:eastAsia="Times New Roman" w:hAnsi="Times New Roman"/>
      <w:sz w:val="24"/>
      <w:szCs w:val="24"/>
      <w:lang w:val="en-US" w:eastAsia="en-US"/>
    </w:rPr>
  </w:style>
  <w:style w:type="paragraph" w:styleId="Heading1">
    <w:name w:val="heading 1"/>
    <w:basedOn w:val="Normal"/>
    <w:link w:val="Heading1Char"/>
    <w:uiPriority w:val="9"/>
    <w:qFormat/>
    <w:rsid w:val="006A288A"/>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8C61EB"/>
    <w:rPr>
      <w:vertAlign w:val="superscript"/>
    </w:rPr>
  </w:style>
  <w:style w:type="paragraph" w:styleId="FootnoteText">
    <w:name w:val="footnote text"/>
    <w:basedOn w:val="Normal"/>
    <w:link w:val="FootnoteTextChar"/>
    <w:semiHidden/>
    <w:unhideWhenUsed/>
    <w:rsid w:val="008C61EB"/>
    <w:pPr>
      <w:spacing w:after="200" w:line="276" w:lineRule="auto"/>
    </w:pPr>
    <w:rPr>
      <w:rFonts w:ascii="Calibri" w:eastAsia="Calibri" w:hAnsi="Calibri"/>
      <w:sz w:val="20"/>
      <w:szCs w:val="20"/>
    </w:rPr>
  </w:style>
  <w:style w:type="character" w:customStyle="1" w:styleId="FootnoteTextChar">
    <w:name w:val="Footnote Text Char"/>
    <w:link w:val="FootnoteText"/>
    <w:semiHidden/>
    <w:rsid w:val="008C61EB"/>
    <w:rPr>
      <w:rFonts w:ascii="Calibri" w:eastAsia="Calibri" w:hAnsi="Calibri" w:cs="Times New Roman"/>
      <w:sz w:val="20"/>
      <w:szCs w:val="20"/>
      <w:lang w:val="en-US"/>
    </w:rPr>
  </w:style>
  <w:style w:type="paragraph" w:styleId="BalloonText">
    <w:name w:val="Balloon Text"/>
    <w:basedOn w:val="Normal"/>
    <w:link w:val="BalloonTextChar"/>
    <w:uiPriority w:val="99"/>
    <w:semiHidden/>
    <w:unhideWhenUsed/>
    <w:rsid w:val="008C61EB"/>
    <w:rPr>
      <w:rFonts w:ascii="Tahoma" w:hAnsi="Tahoma" w:cs="Tahoma"/>
      <w:sz w:val="16"/>
      <w:szCs w:val="16"/>
    </w:rPr>
  </w:style>
  <w:style w:type="character" w:customStyle="1" w:styleId="BalloonTextChar">
    <w:name w:val="Balloon Text Char"/>
    <w:link w:val="BalloonText"/>
    <w:uiPriority w:val="99"/>
    <w:semiHidden/>
    <w:rsid w:val="008C61EB"/>
    <w:rPr>
      <w:rFonts w:ascii="Tahoma" w:eastAsia="Times New Roman" w:hAnsi="Tahoma" w:cs="Tahoma"/>
      <w:sz w:val="16"/>
      <w:szCs w:val="16"/>
      <w:lang w:val="en-US"/>
    </w:rPr>
  </w:style>
  <w:style w:type="paragraph" w:styleId="ListParagraph">
    <w:name w:val="List Paragraph"/>
    <w:basedOn w:val="Normal"/>
    <w:uiPriority w:val="34"/>
    <w:qFormat/>
    <w:rsid w:val="007B5270"/>
    <w:pPr>
      <w:ind w:left="720"/>
      <w:contextualSpacing/>
    </w:pPr>
  </w:style>
  <w:style w:type="character" w:styleId="Hyperlink">
    <w:name w:val="Hyperlink"/>
    <w:basedOn w:val="DefaultParagraphFont"/>
    <w:uiPriority w:val="99"/>
    <w:unhideWhenUsed/>
    <w:rsid w:val="00DD518A"/>
    <w:rPr>
      <w:color w:val="0000FF" w:themeColor="hyperlink"/>
      <w:u w:val="single"/>
    </w:rPr>
  </w:style>
  <w:style w:type="paragraph" w:styleId="Header">
    <w:name w:val="header"/>
    <w:basedOn w:val="Normal"/>
    <w:link w:val="HeaderChar"/>
    <w:uiPriority w:val="99"/>
    <w:unhideWhenUsed/>
    <w:rsid w:val="00891AF7"/>
    <w:pPr>
      <w:tabs>
        <w:tab w:val="center" w:pos="4513"/>
        <w:tab w:val="right" w:pos="9026"/>
      </w:tabs>
    </w:pPr>
  </w:style>
  <w:style w:type="character" w:customStyle="1" w:styleId="HeaderChar">
    <w:name w:val="Header Char"/>
    <w:basedOn w:val="DefaultParagraphFont"/>
    <w:link w:val="Header"/>
    <w:uiPriority w:val="99"/>
    <w:rsid w:val="00891AF7"/>
    <w:rPr>
      <w:rFonts w:ascii="Times New Roman" w:eastAsia="Times New Roman" w:hAnsi="Times New Roman"/>
      <w:sz w:val="24"/>
      <w:szCs w:val="24"/>
      <w:lang w:val="en-US" w:eastAsia="en-US"/>
    </w:rPr>
  </w:style>
  <w:style w:type="paragraph" w:styleId="Footer">
    <w:name w:val="footer"/>
    <w:basedOn w:val="Normal"/>
    <w:link w:val="FooterChar"/>
    <w:uiPriority w:val="99"/>
    <w:unhideWhenUsed/>
    <w:rsid w:val="00891AF7"/>
    <w:pPr>
      <w:tabs>
        <w:tab w:val="center" w:pos="4513"/>
        <w:tab w:val="right" w:pos="9026"/>
      </w:tabs>
    </w:pPr>
  </w:style>
  <w:style w:type="character" w:customStyle="1" w:styleId="FooterChar">
    <w:name w:val="Footer Char"/>
    <w:basedOn w:val="DefaultParagraphFont"/>
    <w:link w:val="Footer"/>
    <w:uiPriority w:val="99"/>
    <w:rsid w:val="00891AF7"/>
    <w:rPr>
      <w:rFonts w:ascii="Times New Roman" w:eastAsia="Times New Roman" w:hAnsi="Times New Roman"/>
      <w:sz w:val="24"/>
      <w:szCs w:val="24"/>
      <w:lang w:val="en-US" w:eastAsia="en-US"/>
    </w:rPr>
  </w:style>
  <w:style w:type="character" w:customStyle="1" w:styleId="Heading1Char">
    <w:name w:val="Heading 1 Char"/>
    <w:basedOn w:val="DefaultParagraphFont"/>
    <w:link w:val="Heading1"/>
    <w:uiPriority w:val="9"/>
    <w:rsid w:val="006A288A"/>
    <w:rPr>
      <w:rFonts w:ascii="Times New Roman" w:eastAsia="Times New Roman" w:hAnsi="Times New Roman"/>
      <w:b/>
      <w:bCs/>
      <w:kern w:val="36"/>
      <w:sz w:val="48"/>
      <w:szCs w:val="48"/>
      <w:lang w:val="en-US" w:eastAsia="en-US"/>
    </w:rPr>
  </w:style>
  <w:style w:type="character" w:customStyle="1" w:styleId="1gvuj">
    <w:name w:val="_1gvuj"/>
    <w:basedOn w:val="DefaultParagraphFont"/>
    <w:rsid w:val="006A28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653966">
      <w:bodyDiv w:val="1"/>
      <w:marLeft w:val="0"/>
      <w:marRight w:val="0"/>
      <w:marTop w:val="0"/>
      <w:marBottom w:val="0"/>
      <w:divBdr>
        <w:top w:val="none" w:sz="0" w:space="0" w:color="auto"/>
        <w:left w:val="none" w:sz="0" w:space="0" w:color="auto"/>
        <w:bottom w:val="none" w:sz="0" w:space="0" w:color="auto"/>
        <w:right w:val="none" w:sz="0" w:space="0" w:color="auto"/>
      </w:divBdr>
    </w:div>
    <w:div w:id="463889637">
      <w:bodyDiv w:val="1"/>
      <w:marLeft w:val="0"/>
      <w:marRight w:val="0"/>
      <w:marTop w:val="0"/>
      <w:marBottom w:val="0"/>
      <w:divBdr>
        <w:top w:val="none" w:sz="0" w:space="0" w:color="auto"/>
        <w:left w:val="none" w:sz="0" w:space="0" w:color="auto"/>
        <w:bottom w:val="none" w:sz="0" w:space="0" w:color="auto"/>
        <w:right w:val="none" w:sz="0" w:space="0" w:color="auto"/>
      </w:divBdr>
    </w:div>
    <w:div w:id="734355630">
      <w:bodyDiv w:val="1"/>
      <w:marLeft w:val="0"/>
      <w:marRight w:val="0"/>
      <w:marTop w:val="0"/>
      <w:marBottom w:val="0"/>
      <w:divBdr>
        <w:top w:val="none" w:sz="0" w:space="0" w:color="auto"/>
        <w:left w:val="none" w:sz="0" w:space="0" w:color="auto"/>
        <w:bottom w:val="none" w:sz="0" w:space="0" w:color="auto"/>
        <w:right w:val="none" w:sz="0" w:space="0" w:color="auto"/>
      </w:divBdr>
    </w:div>
    <w:div w:id="1585609595">
      <w:bodyDiv w:val="1"/>
      <w:marLeft w:val="0"/>
      <w:marRight w:val="0"/>
      <w:marTop w:val="0"/>
      <w:marBottom w:val="0"/>
      <w:divBdr>
        <w:top w:val="none" w:sz="0" w:space="0" w:color="auto"/>
        <w:left w:val="none" w:sz="0" w:space="0" w:color="auto"/>
        <w:bottom w:val="none" w:sz="0" w:space="0" w:color="auto"/>
        <w:right w:val="none" w:sz="0" w:space="0" w:color="auto"/>
      </w:divBdr>
    </w:div>
    <w:div w:id="2121336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1.jpeg" Id="rId8" /><Relationship Type="http://schemas.openxmlformats.org/officeDocument/2006/relationships/image" Target="media/image6.jpeg" Id="rId13" /><Relationship Type="http://schemas.openxmlformats.org/officeDocument/2006/relationships/image" Target="media/image11.jpeg" Id="rId18" /><Relationship Type="http://schemas.openxmlformats.org/officeDocument/2006/relationships/footer" Target="footer1.xml" Id="rId26" /><Relationship Type="http://schemas.openxmlformats.org/officeDocument/2006/relationships/styles" Target="styles.xml" Id="rId3" /><Relationship Type="http://schemas.openxmlformats.org/officeDocument/2006/relationships/image" Target="media/image14.jpeg" Id="rId21" /><Relationship Type="http://schemas.openxmlformats.org/officeDocument/2006/relationships/endnotes" Target="endnotes.xml" Id="rId7" /><Relationship Type="http://schemas.openxmlformats.org/officeDocument/2006/relationships/image" Target="media/image5.jpeg" Id="rId12" /><Relationship Type="http://schemas.openxmlformats.org/officeDocument/2006/relationships/image" Target="media/image10.jpeg" Id="rId17" /><Relationship Type="http://schemas.openxmlformats.org/officeDocument/2006/relationships/hyperlink" Target="https://www.aic.gov.au/publications/sb/sb28" TargetMode="External" Id="rId25" /><Relationship Type="http://schemas.openxmlformats.org/officeDocument/2006/relationships/numbering" Target="numbering.xml" Id="rId2" /><Relationship Type="http://schemas.openxmlformats.org/officeDocument/2006/relationships/image" Target="media/image9.jpeg" Id="rId16" /><Relationship Type="http://schemas.openxmlformats.org/officeDocument/2006/relationships/image" Target="media/image13.jpeg" Id="rId20" /><Relationship Type="http://schemas.openxmlformats.org/officeDocument/2006/relationships/footnotes" Target="footnotes.xml" Id="rId6" /><Relationship Type="http://schemas.openxmlformats.org/officeDocument/2006/relationships/image" Target="media/image4.jpeg" Id="rId11" /><Relationship Type="http://schemas.openxmlformats.org/officeDocument/2006/relationships/image" Target="media/image17.emf" Id="rId24" /><Relationship Type="http://schemas.openxmlformats.org/officeDocument/2006/relationships/webSettings" Target="webSettings.xml" Id="rId5" /><Relationship Type="http://schemas.openxmlformats.org/officeDocument/2006/relationships/image" Target="media/image8.jpeg" Id="rId15" /><Relationship Type="http://schemas.openxmlformats.org/officeDocument/2006/relationships/image" Target="media/image16.jpeg" Id="rId23" /><Relationship Type="http://schemas.openxmlformats.org/officeDocument/2006/relationships/theme" Target="theme/theme1.xml" Id="rId28" /><Relationship Type="http://schemas.openxmlformats.org/officeDocument/2006/relationships/image" Target="media/image3.jpeg" Id="rId10" /><Relationship Type="http://schemas.openxmlformats.org/officeDocument/2006/relationships/image" Target="media/image12.jpeg" Id="rId19" /><Relationship Type="http://schemas.openxmlformats.org/officeDocument/2006/relationships/settings" Target="settings.xml" Id="rId4" /><Relationship Type="http://schemas.openxmlformats.org/officeDocument/2006/relationships/image" Target="media/image2.jpeg" Id="rId9" /><Relationship Type="http://schemas.openxmlformats.org/officeDocument/2006/relationships/image" Target="media/image7.jpeg" Id="rId14" /><Relationship Type="http://schemas.openxmlformats.org/officeDocument/2006/relationships/image" Target="media/image15.jpeg" Id="rId22" /><Relationship Type="http://schemas.openxmlformats.org/officeDocument/2006/relationships/fontTable" Target="fontTable.xml" Id="rId27" /><Relationship Type="http://schemas.openxmlformats.org/officeDocument/2006/relationships/customXml" Target="/customXML/item2.xml" Id="R15ffa87f2c3f469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2.xml.rels>&#65279;<?xml version="1.0" encoding="utf-8"?><Relationships xmlns="http://schemas.openxmlformats.org/package/2006/relationships"><Relationship Type="http://schemas.openxmlformats.org/officeDocument/2006/relationships/customXmlProps" Target="/customXML/itemProps2.xml" Id="Rd3c4172d526e4b2384ade4b889302c76" /></Relationships>
</file>

<file path=customXML/item2.xml><?xml version="1.0" encoding="utf-8"?>
<metadata xmlns="http://www.objective.com/ecm/document/metadata/9676E22B47CC48CBA49BA16071DCFF24" version="1.0.0">
  <systemFields>
    <field name="Objective-Id">
      <value order="0">A10747655</value>
    </field>
    <field name="Objective-Title">
      <value order="0">Summary - prevalence of family violence, stalking and harassment 2024</value>
    </field>
    <field name="Objective-Description">
      <value order="0"/>
    </field>
    <field name="Objective-CreationStamp">
      <value order="0">2024-03-15T04:57:58Z</value>
    </field>
    <field name="Objective-IsApproved">
      <value order="0">false</value>
    </field>
    <field name="Objective-IsPublished">
      <value order="0">true</value>
    </field>
    <field name="Objective-DatePublished">
      <value order="0">2024-03-15T04:59:01Z</value>
    </field>
    <field name="Objective-ModificationStamp">
      <value order="0">2024-03-19T02:16:03Z</value>
    </field>
    <field name="Objective-Owner">
      <value order="0">Hayden Brown</value>
    </field>
    <field name="Objective-Path">
      <value order="0">Classified Object:Classified Object:Classified Object:Census Analysis 2022 Website Files</value>
    </field>
    <field name="Objective-Parent">
      <value order="0">Census Analysis 2022 Website Files</value>
    </field>
    <field name="Objective-State">
      <value order="0">Published</value>
    </field>
    <field name="Objective-VersionId">
      <value order="0">vA13618481</value>
    </field>
    <field name="Objective-Version">
      <value order="0">1.0</value>
    </field>
    <field name="Objective-VersionNumber">
      <value order="0">1</value>
    </field>
    <field name="Objective-VersionComment">
      <value order="0">First version</value>
    </field>
    <field name="Objective-FileNumber">
      <value order="0">qA481061</value>
    </field>
    <field name="Objective-Classification">
      <value order="0"/>
    </field>
    <field name="Objective-Caveats">
      <value order="0"/>
    </field>
  </systemFields>
  <catalogues>
    <catalogue name="Document Type Catalogue" type="type" ori="id:cA11">
      <field name="Objective-Business Unit">
        <value order="0">Community Development</value>
      </field>
      <field name="Objective-Corporate Document Type">
        <value order="0"/>
      </field>
      <field name="Objective-Records Audit Vital Record">
        <value order="0"/>
      </field>
      <field name="Objective-Records Audit Date">
        <value order="0"/>
      </field>
      <field name="Objective-Connect Creator">
        <value order="0"/>
      </field>
      <field name="Objective-Bulk Update Status">
        <value order="0"/>
      </field>
    </catalogue>
  </catalogues>
</metadata>
</file>

<file path=customXML/itemProps2.xml><?xml version="1.0" encoding="utf-8"?>
<ds:datastoreItem xmlns:ds="http://schemas.openxmlformats.org/officeDocument/2006/customXml" ds:itemID="{5745109E-2DDF-40CB-AC2B-FF9B10C90820}">
  <ds:schemaRefs>
    <ds:schemaRef ds:uri="http://www.objective.com/ecm/document/metadata/9676E22B47CC48CBA49BA16071DCFF24"/>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2381</Words>
  <Characters>13573</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City of Greater Dandenong</Company>
  <LinksUpToDate>false</LinksUpToDate>
  <CharactersWithSpaces>15923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hbrown</dc:creator>
  <cp:lastModifiedBy>Hayden Brown</cp:lastModifiedBy>
  <cp:revision>3</cp:revision>
  <cp:lastPrinted>2020-06-16T01:01:00Z</cp:lastPrinted>
  <dcterms:created xsi:type="dcterms:W3CDTF">2024-03-15T04:54:00Z</dcterms:created>
  <dcterms:modified xsi:type="dcterms:W3CDTF">2024-03-15T04:54:00Z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A10747655</vt:lpwstr>
  </property>
  <property fmtid="{D5CDD505-2E9C-101B-9397-08002B2CF9AE}" pid="4" name="Objective-Title">
    <vt:lpwstr>Summary - prevalence of family violence, stalking and harassment 2024</vt:lpwstr>
  </property>
  <property fmtid="{D5CDD505-2E9C-101B-9397-08002B2CF9AE}" pid="5" name="Objective-Description">
    <vt:lpwstr/>
  </property>
  <property fmtid="{D5CDD505-2E9C-101B-9397-08002B2CF9AE}" pid="6" name="Objective-CreationStamp">
    <vt:filetime>2024-03-15T04:57:58Z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2024-03-15T04:59:01Z</vt:filetime>
  </property>
  <property fmtid="{D5CDD505-2E9C-101B-9397-08002B2CF9AE}" pid="10" name="Objective-ModificationStamp">
    <vt:filetime>2024-03-19T02:16:03Z</vt:filetime>
  </property>
  <property fmtid="{D5CDD505-2E9C-101B-9397-08002B2CF9AE}" pid="11" name="Objective-Owner">
    <vt:lpwstr>Hayden Brown</vt:lpwstr>
  </property>
  <property fmtid="{D5CDD505-2E9C-101B-9397-08002B2CF9AE}" pid="12" name="Objective-Path">
    <vt:lpwstr>Classified Object:Classified Object:Classified Object:Census Analysis 2022 Website Files</vt:lpwstr>
  </property>
  <property fmtid="{D5CDD505-2E9C-101B-9397-08002B2CF9AE}" pid="13" name="Objective-Parent">
    <vt:lpwstr>Census Analysis 2022 Website Files</vt:lpwstr>
  </property>
  <property fmtid="{D5CDD505-2E9C-101B-9397-08002B2CF9AE}" pid="14" name="Objective-State">
    <vt:lpwstr>Published</vt:lpwstr>
  </property>
  <property fmtid="{D5CDD505-2E9C-101B-9397-08002B2CF9AE}" pid="15" name="Objective-VersionId">
    <vt:lpwstr>vA13618481</vt:lpwstr>
  </property>
  <property fmtid="{D5CDD505-2E9C-101B-9397-08002B2CF9AE}" pid="16" name="Objective-Version">
    <vt:lpwstr>1.0</vt:lpwstr>
  </property>
  <property fmtid="{D5CDD505-2E9C-101B-9397-08002B2CF9AE}" pid="17" name="Objective-VersionNumber">
    <vt:r8>1</vt:r8>
  </property>
  <property fmtid="{D5CDD505-2E9C-101B-9397-08002B2CF9AE}" pid="18" name="Objective-VersionComment">
    <vt:lpwstr>First version</vt:lpwstr>
  </property>
  <property fmtid="{D5CDD505-2E9C-101B-9397-08002B2CF9AE}" pid="19" name="Objective-FileNumber">
    <vt:lpwstr>qA481061</vt:lpwstr>
  </property>
  <property fmtid="{D5CDD505-2E9C-101B-9397-08002B2CF9AE}" pid="20" name="Objective-Classification">
    <vt:lpwstr/>
  </property>
  <property fmtid="{D5CDD505-2E9C-101B-9397-08002B2CF9AE}" pid="21" name="Objective-Caveats">
    <vt:lpwstr/>
  </property>
  <property fmtid="{D5CDD505-2E9C-101B-9397-08002B2CF9AE}" pid="22" name="Objective-Business Unit">
    <vt:lpwstr>Community Development</vt:lpwstr>
  </property>
  <property fmtid="{D5CDD505-2E9C-101B-9397-08002B2CF9AE}" pid="23" name="Objective-Corporate Document Type">
    <vt:lpwstr/>
  </property>
  <property fmtid="{D5CDD505-2E9C-101B-9397-08002B2CF9AE}" pid="24" name="Objective-Records Audit Vital Record">
    <vt:lpwstr/>
  </property>
  <property fmtid="{D5CDD505-2E9C-101B-9397-08002B2CF9AE}" pid="25" name="Objective-Records Audit Date">
    <vt:lpwstr/>
  </property>
  <property fmtid="{D5CDD505-2E9C-101B-9397-08002B2CF9AE}" pid="26" name="Objective-Connect Creator">
    <vt:lpwstr/>
  </property>
  <property fmtid="{D5CDD505-2E9C-101B-9397-08002B2CF9AE}" pid="27" name="Objective-Comment">
    <vt:lpwstr/>
  </property>
  <property fmtid="{D5CDD505-2E9C-101B-9397-08002B2CF9AE}" pid="28" name="Objective-Bulk Update Status">
    <vt:lpwstr/>
  </property>
</Properties>
</file>