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52A2" w14:textId="77777777" w:rsidR="00D63C18" w:rsidRPr="003D6C43" w:rsidRDefault="00D63C18" w:rsidP="00D63C18">
      <w:pPr>
        <w:rPr>
          <w:rFonts w:ascii="Calibri" w:hAnsi="Calibri"/>
        </w:rPr>
      </w:pPr>
      <w:r>
        <w:rPr>
          <w:rFonts w:ascii="Calibri" w:hAnsi="Calibri"/>
          <w:noProof/>
          <w:lang w:eastAsia="en-AU"/>
        </w:rPr>
        <w:drawing>
          <wp:anchor distT="0" distB="0" distL="114300" distR="114300" simplePos="0" relativeHeight="252141568" behindDoc="0" locked="0" layoutInCell="1" allowOverlap="1" wp14:anchorId="5412E815" wp14:editId="745E3DCD">
            <wp:simplePos x="0" y="0"/>
            <wp:positionH relativeFrom="column">
              <wp:posOffset>108585</wp:posOffset>
            </wp:positionH>
            <wp:positionV relativeFrom="paragraph">
              <wp:posOffset>3810</wp:posOffset>
            </wp:positionV>
            <wp:extent cx="1533525" cy="495300"/>
            <wp:effectExtent l="0" t="0" r="9525" b="0"/>
            <wp:wrapNone/>
            <wp:docPr id="95" name="Picture 12" descr="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en-AU"/>
        </w:rPr>
        <mc:AlternateContent>
          <mc:Choice Requires="wps">
            <w:drawing>
              <wp:anchor distT="36576" distB="36576" distL="36576" distR="36576" simplePos="0" relativeHeight="252138496" behindDoc="0" locked="0" layoutInCell="1" allowOverlap="1" wp14:anchorId="5E75C8F2" wp14:editId="67AAE645">
                <wp:simplePos x="0" y="0"/>
                <wp:positionH relativeFrom="column">
                  <wp:posOffset>23578820</wp:posOffset>
                </wp:positionH>
                <wp:positionV relativeFrom="paragraph">
                  <wp:posOffset>25805130</wp:posOffset>
                </wp:positionV>
                <wp:extent cx="4464050" cy="2087880"/>
                <wp:effectExtent l="4445" t="1905"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5C8F2" id="_x0000_t202" coordsize="21600,21600" o:spt="202" path="m,l,21600r21600,l21600,xe">
                <v:stroke joinstyle="miter"/>
                <v:path gradientshapeok="t" o:connecttype="rect"/>
              </v:shapetype>
              <v:shape id="Text Box 2" o:spid="_x0000_s1026" type="#_x0000_t202" style="position:absolute;margin-left:1856.6pt;margin-top:2031.9pt;width:351.5pt;height:164.4pt;z-index:25213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" filled="f" fillcolor="#fffffe" stroked="f" strokecolor="#212120" insetpen="t">
                <v:textbox inset="2.88pt,2.88pt,2.88pt,2.88pt">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2749FBB3" w14:textId="77777777" w:rsidR="00D63C18" w:rsidRPr="003D6C43" w:rsidRDefault="004A17E1" w:rsidP="00D63C18">
      <w:pPr>
        <w:rPr>
          <w:rFonts w:ascii="Calibri" w:hAnsi="Calibri"/>
        </w:rPr>
      </w:pPr>
      <w:r>
        <w:rPr>
          <w:noProof/>
          <w:lang w:eastAsia="en-AU"/>
        </w:rPr>
        <w:drawing>
          <wp:anchor distT="0" distB="0" distL="114300" distR="114300" simplePos="0" relativeHeight="252143616" behindDoc="0" locked="0" layoutInCell="1" allowOverlap="1" wp14:anchorId="2250D6A9" wp14:editId="1247D2F6">
            <wp:simplePos x="0" y="0"/>
            <wp:positionH relativeFrom="column">
              <wp:posOffset>4461510</wp:posOffset>
            </wp:positionH>
            <wp:positionV relativeFrom="paragraph">
              <wp:posOffset>33020</wp:posOffset>
            </wp:positionV>
            <wp:extent cx="1579245" cy="1028274"/>
            <wp:effectExtent l="0" t="0" r="1905" b="635"/>
            <wp:wrapNone/>
            <wp:docPr id="2" name="Picture 1" descr="Crime 1.jpg">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ime 1.jpg">
                      <a:extLst>
                        <a:ext uri="{FF2B5EF4-FFF2-40B4-BE49-F238E27FC236}">
                          <a16:creationId xmlns:a16="http://schemas.microsoft.com/office/drawing/2014/main" id="{00000000-0008-0000-01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245" cy="1028274"/>
                    </a:xfrm>
                    <a:prstGeom prst="rect">
                      <a:avLst/>
                    </a:prstGeom>
                    <a:ln>
                      <a:noFill/>
                    </a:ln>
                    <a:effectLst>
                      <a:softEdge rad="215900"/>
                    </a:effectLst>
                  </pic:spPr>
                </pic:pic>
              </a:graphicData>
            </a:graphic>
            <wp14:sizeRelH relativeFrom="page">
              <wp14:pctWidth>0</wp14:pctWidth>
            </wp14:sizeRelH>
            <wp14:sizeRelV relativeFrom="page">
              <wp14:pctHeight>0</wp14:pctHeight>
            </wp14:sizeRelV>
          </wp:anchor>
        </w:drawing>
      </w:r>
    </w:p>
    <w:p w14:paraId="5C49DCC4" w14:textId="77777777" w:rsidR="00D63C18" w:rsidRPr="003D6C43" w:rsidRDefault="00D63C18" w:rsidP="00D63C18">
      <w:pPr>
        <w:rPr>
          <w:rFonts w:ascii="Calibri" w:hAnsi="Calibri"/>
        </w:rPr>
      </w:pPr>
    </w:p>
    <w:p w14:paraId="18A723C5" w14:textId="77777777" w:rsidR="00D63C18" w:rsidRPr="003D6C43" w:rsidRDefault="00D63C18" w:rsidP="00D63C18">
      <w:pPr>
        <w:rPr>
          <w:rFonts w:ascii="Calibri" w:hAnsi="Calibri"/>
        </w:rPr>
      </w:pPr>
    </w:p>
    <w:p w14:paraId="5F140ADD" w14:textId="77777777" w:rsidR="00D63C18" w:rsidRPr="003D6C43" w:rsidRDefault="00D63C18" w:rsidP="00D63C18">
      <w:pPr>
        <w:rPr>
          <w:rFonts w:ascii="Calibri" w:hAnsi="Calibri"/>
        </w:rPr>
      </w:pPr>
    </w:p>
    <w:p w14:paraId="1EF1B95F" w14:textId="77777777" w:rsidR="00D63C18" w:rsidRPr="003D6C43" w:rsidRDefault="00D63C18" w:rsidP="00D63C18">
      <w:pPr>
        <w:rPr>
          <w:rFonts w:ascii="Calibri" w:hAnsi="Calibri"/>
        </w:rPr>
      </w:pPr>
    </w:p>
    <w:p w14:paraId="3A61395E" w14:textId="77777777" w:rsidR="00D63C18" w:rsidRPr="003D6C43" w:rsidRDefault="00D63C18"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39520" behindDoc="0" locked="0" layoutInCell="1" allowOverlap="1" wp14:anchorId="6874D85E" wp14:editId="659D8668">
                <wp:simplePos x="0" y="0"/>
                <wp:positionH relativeFrom="column">
                  <wp:posOffset>23578820</wp:posOffset>
                </wp:positionH>
                <wp:positionV relativeFrom="paragraph">
                  <wp:posOffset>25805130</wp:posOffset>
                </wp:positionV>
                <wp:extent cx="4464050" cy="2087880"/>
                <wp:effectExtent l="4445" t="1905" r="0" b="0"/>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D85E" id="Text Box 3" o:spid="_x0000_s1027" type="#_x0000_t202" style="position:absolute;margin-left:1856.6pt;margin-top:2031.9pt;width:351.5pt;height:164.4pt;z-index:25213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" filled="f" fillcolor="#fffffe" stroked="f" strokecolor="#212120" insetpen="t">
                <v:textbox inset="2.88pt,2.88pt,2.88pt,2.88pt">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3EE2AC68" w14:textId="77777777" w:rsidR="00D63C18" w:rsidRPr="003D6C43" w:rsidRDefault="00D63C18" w:rsidP="00D63C18">
      <w:pPr>
        <w:rPr>
          <w:rFonts w:ascii="Calibri" w:hAnsi="Calibri"/>
        </w:rPr>
      </w:pPr>
    </w:p>
    <w:p w14:paraId="18FCE2C8" w14:textId="77777777" w:rsidR="00D63C18" w:rsidRPr="003D6C43" w:rsidRDefault="00D63C18" w:rsidP="00D63C18">
      <w:pPr>
        <w:rPr>
          <w:rFonts w:ascii="Calibri" w:hAnsi="Calibri"/>
        </w:rPr>
      </w:pPr>
    </w:p>
    <w:p w14:paraId="3894D3B2" w14:textId="77777777" w:rsidR="00D63C18" w:rsidRPr="003D6C43" w:rsidRDefault="00D63C18" w:rsidP="00D63C18">
      <w:pPr>
        <w:rPr>
          <w:rFonts w:ascii="Calibri" w:hAnsi="Calibri"/>
        </w:rPr>
      </w:pPr>
    </w:p>
    <w:p w14:paraId="408A209E" w14:textId="77777777" w:rsidR="00D63C18" w:rsidRPr="003D6C43" w:rsidRDefault="00D63C18" w:rsidP="00D63C18">
      <w:pPr>
        <w:rPr>
          <w:rFonts w:ascii="Calibri" w:hAnsi="Calibri"/>
        </w:rPr>
      </w:pPr>
    </w:p>
    <w:p w14:paraId="0E1215C8" w14:textId="77777777" w:rsidR="00D63C18" w:rsidRPr="003D6C43" w:rsidRDefault="00D63C18" w:rsidP="00D63C18">
      <w:pPr>
        <w:rPr>
          <w:rFonts w:ascii="Calibri" w:hAnsi="Calibri"/>
        </w:rPr>
      </w:pPr>
    </w:p>
    <w:p w14:paraId="66DA5EF6" w14:textId="77777777" w:rsidR="00D63C18" w:rsidRPr="003D6C43" w:rsidRDefault="00D63C18" w:rsidP="00D63C18">
      <w:pPr>
        <w:rPr>
          <w:rFonts w:ascii="Calibri" w:hAnsi="Calibri"/>
        </w:rPr>
      </w:pPr>
    </w:p>
    <w:p w14:paraId="627A043E" w14:textId="77777777" w:rsidR="00D63C18" w:rsidRPr="003D6C43" w:rsidRDefault="00E43F9F"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40544" behindDoc="0" locked="0" layoutInCell="1" allowOverlap="1" wp14:anchorId="673A3213" wp14:editId="3E9FEB21">
                <wp:simplePos x="0" y="0"/>
                <wp:positionH relativeFrom="column">
                  <wp:posOffset>280035</wp:posOffset>
                </wp:positionH>
                <wp:positionV relativeFrom="paragraph">
                  <wp:posOffset>54610</wp:posOffset>
                </wp:positionV>
                <wp:extent cx="5651500" cy="1962150"/>
                <wp:effectExtent l="0" t="0" r="6350" b="0"/>
                <wp:wrapNone/>
                <wp:docPr id="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962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3213" id="Text Box 4" o:spid="_x0000_s1028" type="#_x0000_t202" style="position:absolute;margin-left:22.05pt;margin-top:4.3pt;width:445pt;height:154.5pt;z-index:252140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" filled="f" fillcolor="#fffffe" stroked="f" strokecolor="#212120" insetpen="t">
                <v:textbox inset="2.88pt,2.88pt,2.88pt,2.88pt">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v:textbox>
              </v:shape>
            </w:pict>
          </mc:Fallback>
        </mc:AlternateContent>
      </w:r>
    </w:p>
    <w:p w14:paraId="7E01A88B" w14:textId="77777777" w:rsidR="00D63C18" w:rsidRPr="003D6C43" w:rsidRDefault="00D63C18" w:rsidP="00D63C18">
      <w:pPr>
        <w:rPr>
          <w:rFonts w:ascii="Calibri" w:hAnsi="Calibri"/>
        </w:rPr>
      </w:pPr>
    </w:p>
    <w:p w14:paraId="20ABDD86" w14:textId="77777777" w:rsidR="00D63C18" w:rsidRPr="003D6C43" w:rsidRDefault="00D63C18" w:rsidP="00D63C18">
      <w:pPr>
        <w:rPr>
          <w:rFonts w:ascii="Calibri" w:hAnsi="Calibri"/>
        </w:rPr>
      </w:pPr>
    </w:p>
    <w:p w14:paraId="7C5E2F6C" w14:textId="77777777" w:rsidR="00D63C18" w:rsidRPr="003D6C43" w:rsidRDefault="00D63C18" w:rsidP="00D63C18">
      <w:pPr>
        <w:rPr>
          <w:rFonts w:ascii="Calibri" w:hAnsi="Calibri"/>
        </w:rPr>
      </w:pPr>
    </w:p>
    <w:p w14:paraId="444E48F5" w14:textId="77777777" w:rsidR="00D63C18" w:rsidRPr="003D6C43" w:rsidRDefault="00D63C18" w:rsidP="00D63C18">
      <w:pPr>
        <w:rPr>
          <w:rFonts w:ascii="Calibri" w:hAnsi="Calibri"/>
        </w:rPr>
      </w:pPr>
    </w:p>
    <w:p w14:paraId="0A51A943" w14:textId="77777777" w:rsidR="00D63C18" w:rsidRPr="003D6C43" w:rsidRDefault="00D63C18" w:rsidP="00D63C18">
      <w:pPr>
        <w:rPr>
          <w:rFonts w:ascii="Calibri" w:hAnsi="Calibri"/>
          <w:noProof/>
        </w:rPr>
      </w:pPr>
    </w:p>
    <w:p w14:paraId="79D7230A" w14:textId="77777777" w:rsidR="00D63C18" w:rsidRPr="003D6C43" w:rsidRDefault="00D63C18" w:rsidP="00D63C18">
      <w:pPr>
        <w:rPr>
          <w:rFonts w:ascii="Calibri" w:hAnsi="Calibri"/>
          <w:noProof/>
        </w:rPr>
      </w:pPr>
    </w:p>
    <w:p w14:paraId="4D681D36" w14:textId="77777777" w:rsidR="00D63C18" w:rsidRPr="003D6C43" w:rsidRDefault="00D63C18" w:rsidP="00D63C18">
      <w:pPr>
        <w:rPr>
          <w:rFonts w:ascii="Calibri" w:hAnsi="Calibri"/>
          <w:noProof/>
        </w:rPr>
      </w:pPr>
    </w:p>
    <w:p w14:paraId="2E356DB8" w14:textId="77777777" w:rsidR="00D63C18" w:rsidRPr="003D6C43" w:rsidRDefault="00D63C18" w:rsidP="00D63C18">
      <w:pPr>
        <w:rPr>
          <w:rFonts w:ascii="Calibri" w:hAnsi="Calibri"/>
          <w:noProof/>
        </w:rPr>
      </w:pPr>
    </w:p>
    <w:p w14:paraId="52BF0229" w14:textId="77777777" w:rsidR="00D63C18" w:rsidRPr="003D6C43" w:rsidRDefault="00D63C18" w:rsidP="00D63C18">
      <w:pPr>
        <w:rPr>
          <w:rFonts w:ascii="Calibri" w:hAnsi="Calibri"/>
          <w:noProof/>
        </w:rPr>
      </w:pPr>
    </w:p>
    <w:p w14:paraId="04C2C254" w14:textId="77777777" w:rsidR="00D63C18" w:rsidRPr="003D6C43" w:rsidRDefault="00D63C18" w:rsidP="00D63C18">
      <w:pPr>
        <w:rPr>
          <w:rFonts w:ascii="Calibri" w:hAnsi="Calibri"/>
          <w:noProof/>
        </w:rPr>
      </w:pPr>
    </w:p>
    <w:p w14:paraId="3EA5C56A" w14:textId="77777777" w:rsidR="00D63C18" w:rsidRDefault="00D63C18" w:rsidP="00D63C18">
      <w:pPr>
        <w:rPr>
          <w:rFonts w:ascii="Calibri" w:hAnsi="Calibri"/>
          <w:noProof/>
        </w:rPr>
      </w:pPr>
    </w:p>
    <w:p w14:paraId="7893567C" w14:textId="77777777" w:rsidR="00D63C18" w:rsidRDefault="00D63C18" w:rsidP="00D63C18">
      <w:pPr>
        <w:rPr>
          <w:rFonts w:ascii="Calibri" w:hAnsi="Calibri"/>
          <w:noProof/>
        </w:rPr>
      </w:pPr>
    </w:p>
    <w:p w14:paraId="4769D13A" w14:textId="77777777" w:rsidR="00D63C18" w:rsidRDefault="00D63C18" w:rsidP="00D63C18">
      <w:pPr>
        <w:rPr>
          <w:rFonts w:ascii="Calibri" w:hAnsi="Calibri"/>
          <w:noProof/>
        </w:rPr>
      </w:pPr>
    </w:p>
    <w:p w14:paraId="418C736A" w14:textId="77777777" w:rsidR="00D63C18" w:rsidRDefault="00D63C18" w:rsidP="00D63C18">
      <w:pPr>
        <w:rPr>
          <w:rFonts w:ascii="Calibri" w:hAnsi="Calibri"/>
          <w:noProof/>
        </w:rPr>
      </w:pPr>
    </w:p>
    <w:p w14:paraId="44347F13" w14:textId="77777777" w:rsidR="00D63C18" w:rsidRDefault="00D63C18" w:rsidP="00D63C18">
      <w:pPr>
        <w:rPr>
          <w:rFonts w:ascii="Calibri" w:hAnsi="Calibri"/>
          <w:noProof/>
        </w:rPr>
      </w:pPr>
    </w:p>
    <w:p w14:paraId="2CFBE660" w14:textId="77777777" w:rsidR="00D63C18" w:rsidRDefault="00D63C18" w:rsidP="00D63C18">
      <w:pPr>
        <w:rPr>
          <w:rFonts w:ascii="Calibri" w:hAnsi="Calibri"/>
          <w:noProof/>
        </w:rPr>
      </w:pPr>
    </w:p>
    <w:p w14:paraId="56C1CEFC" w14:textId="77777777" w:rsidR="00D63C18" w:rsidRDefault="00D63C18" w:rsidP="00D63C18">
      <w:pPr>
        <w:rPr>
          <w:rFonts w:ascii="Calibri" w:hAnsi="Calibri"/>
          <w:noProof/>
        </w:rPr>
      </w:pPr>
    </w:p>
    <w:p w14:paraId="642E78C7" w14:textId="77777777" w:rsidR="00D63C18" w:rsidRDefault="00D63C18" w:rsidP="00D63C18">
      <w:pPr>
        <w:rPr>
          <w:rFonts w:ascii="Calibri" w:hAnsi="Calibri"/>
          <w:noProof/>
        </w:rPr>
      </w:pPr>
    </w:p>
    <w:p w14:paraId="65DC6553" w14:textId="77777777" w:rsidR="00D63C18" w:rsidRDefault="00D63C18" w:rsidP="00D63C18">
      <w:pPr>
        <w:rPr>
          <w:rFonts w:ascii="Calibri" w:hAnsi="Calibri"/>
          <w:noProof/>
        </w:rPr>
      </w:pPr>
    </w:p>
    <w:p w14:paraId="532804BB" w14:textId="77777777" w:rsidR="00D63C18" w:rsidRDefault="00D63C18" w:rsidP="00D63C18">
      <w:pPr>
        <w:rPr>
          <w:rFonts w:ascii="Calibri" w:hAnsi="Calibri"/>
          <w:noProof/>
        </w:rPr>
      </w:pPr>
    </w:p>
    <w:p w14:paraId="414A6322" w14:textId="77777777" w:rsidR="00D63C18" w:rsidRDefault="009F732F" w:rsidP="00D63C18">
      <w:pPr>
        <w:rPr>
          <w:rFonts w:ascii="Calibri" w:hAnsi="Calibri"/>
          <w:noProof/>
        </w:rPr>
      </w:pPr>
      <w:r>
        <w:rPr>
          <w:rFonts w:ascii="Calibri" w:hAnsi="Calibri"/>
          <w:noProof/>
          <w:lang w:eastAsia="en-AU"/>
        </w:rPr>
        <w:drawing>
          <wp:anchor distT="0" distB="0" distL="114300" distR="114300" simplePos="0" relativeHeight="252142592" behindDoc="0" locked="0" layoutInCell="1" allowOverlap="1" wp14:anchorId="180C1DDE" wp14:editId="23E28F10">
            <wp:simplePos x="0" y="0"/>
            <wp:positionH relativeFrom="column">
              <wp:posOffset>1727835</wp:posOffset>
            </wp:positionH>
            <wp:positionV relativeFrom="paragraph">
              <wp:posOffset>32385</wp:posOffset>
            </wp:positionV>
            <wp:extent cx="2886075" cy="2068830"/>
            <wp:effectExtent l="0" t="0" r="9525" b="7620"/>
            <wp:wrapNone/>
            <wp:docPr id="101" name="Picture 101" descr="Gam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ming Mach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068830"/>
                    </a:xfrm>
                    <a:prstGeom prst="rect">
                      <a:avLst/>
                    </a:prstGeom>
                    <a:ln>
                      <a:noFill/>
                    </a:ln>
                    <a:effectLst>
                      <a:glow>
                        <a:schemeClr val="accent1">
                          <a:alpha val="1000"/>
                        </a:schemeClr>
                      </a:glow>
                      <a:softEdge rad="647700"/>
                    </a:effectLst>
                  </pic:spPr>
                </pic:pic>
              </a:graphicData>
            </a:graphic>
            <wp14:sizeRelH relativeFrom="page">
              <wp14:pctWidth>0</wp14:pctWidth>
            </wp14:sizeRelH>
            <wp14:sizeRelV relativeFrom="page">
              <wp14:pctHeight>0</wp14:pctHeight>
            </wp14:sizeRelV>
          </wp:anchor>
        </w:drawing>
      </w:r>
    </w:p>
    <w:p w14:paraId="5DC9EA17" w14:textId="77777777" w:rsidR="00D63C18" w:rsidRDefault="00D63C18" w:rsidP="00D63C18">
      <w:pPr>
        <w:rPr>
          <w:rFonts w:ascii="Calibri" w:hAnsi="Calibri"/>
          <w:noProof/>
        </w:rPr>
      </w:pPr>
    </w:p>
    <w:p w14:paraId="26264CEC" w14:textId="77777777" w:rsidR="00D63C18" w:rsidRDefault="00D63C18" w:rsidP="00D63C18">
      <w:pPr>
        <w:rPr>
          <w:rFonts w:ascii="Calibri" w:hAnsi="Calibri"/>
          <w:noProof/>
        </w:rPr>
      </w:pPr>
    </w:p>
    <w:p w14:paraId="2661C809" w14:textId="77777777" w:rsidR="00D63C18" w:rsidRDefault="00D63C18" w:rsidP="00D63C18">
      <w:pPr>
        <w:rPr>
          <w:rFonts w:ascii="Calibri" w:hAnsi="Calibri"/>
          <w:noProof/>
        </w:rPr>
      </w:pPr>
    </w:p>
    <w:p w14:paraId="1043D3FE" w14:textId="77777777" w:rsidR="00D63C18" w:rsidRDefault="00D63C18" w:rsidP="00D63C18">
      <w:pPr>
        <w:rPr>
          <w:rFonts w:ascii="Calibri" w:hAnsi="Calibri"/>
          <w:noProof/>
        </w:rPr>
      </w:pPr>
    </w:p>
    <w:p w14:paraId="15287F22" w14:textId="77777777" w:rsidR="00D63C18" w:rsidRDefault="00D63C18" w:rsidP="00D63C18">
      <w:pPr>
        <w:rPr>
          <w:rFonts w:ascii="Calibri" w:hAnsi="Calibri"/>
          <w:noProof/>
        </w:rPr>
      </w:pPr>
    </w:p>
    <w:p w14:paraId="4DA1F63F" w14:textId="77777777" w:rsidR="00D63C18" w:rsidRDefault="00D63C18" w:rsidP="00D63C18">
      <w:pPr>
        <w:rPr>
          <w:rFonts w:ascii="Calibri" w:hAnsi="Calibri"/>
          <w:noProof/>
        </w:rPr>
      </w:pPr>
    </w:p>
    <w:p w14:paraId="59709FE2" w14:textId="77777777" w:rsidR="00D63C18" w:rsidRDefault="00D63C18" w:rsidP="00D63C18">
      <w:pPr>
        <w:rPr>
          <w:rFonts w:ascii="Calibri" w:hAnsi="Calibri"/>
          <w:noProof/>
        </w:rPr>
      </w:pPr>
    </w:p>
    <w:p w14:paraId="50B28880" w14:textId="77777777" w:rsidR="00D63C18" w:rsidRDefault="00D63C18" w:rsidP="00D63C18">
      <w:pPr>
        <w:rPr>
          <w:rFonts w:ascii="Calibri" w:hAnsi="Calibri"/>
          <w:noProof/>
        </w:rPr>
      </w:pPr>
    </w:p>
    <w:p w14:paraId="6C2B89D0" w14:textId="77777777" w:rsidR="00D63C18" w:rsidRDefault="00D63C18" w:rsidP="00D63C18">
      <w:pPr>
        <w:rPr>
          <w:rFonts w:ascii="Calibri" w:hAnsi="Calibri"/>
          <w:noProof/>
        </w:rPr>
      </w:pPr>
    </w:p>
    <w:p w14:paraId="5D52DF4E" w14:textId="77777777" w:rsidR="00D63C18" w:rsidRDefault="00D63C18" w:rsidP="00D63C18">
      <w:pPr>
        <w:rPr>
          <w:rFonts w:ascii="Calibri" w:hAnsi="Calibri"/>
          <w:noProof/>
        </w:rPr>
      </w:pPr>
    </w:p>
    <w:p w14:paraId="4F4D9F28" w14:textId="77777777" w:rsidR="00D63C18" w:rsidRDefault="00D63C18" w:rsidP="00D63C18">
      <w:pPr>
        <w:rPr>
          <w:rFonts w:ascii="Calibri" w:hAnsi="Calibri"/>
          <w:noProof/>
        </w:rPr>
      </w:pPr>
    </w:p>
    <w:p w14:paraId="6FDFA9FB" w14:textId="77777777" w:rsidR="004A17E1" w:rsidRDefault="004A17E1" w:rsidP="00D63C18">
      <w:pPr>
        <w:rPr>
          <w:rFonts w:ascii="Calibri" w:hAnsi="Calibri"/>
          <w:noProof/>
        </w:rPr>
      </w:pPr>
    </w:p>
    <w:p w14:paraId="7288E3F6" w14:textId="77777777" w:rsidR="004A17E1" w:rsidRDefault="004A17E1" w:rsidP="00D63C18">
      <w:pPr>
        <w:rPr>
          <w:rFonts w:ascii="Calibri" w:hAnsi="Calibri"/>
          <w:noProof/>
        </w:rPr>
      </w:pPr>
    </w:p>
    <w:p w14:paraId="089E5639" w14:textId="77777777" w:rsidR="004A17E1" w:rsidRPr="003D6C43" w:rsidRDefault="004A17E1" w:rsidP="00D63C18">
      <w:pPr>
        <w:rPr>
          <w:rFonts w:ascii="Calibri" w:hAnsi="Calibri"/>
          <w:noProof/>
        </w:rPr>
      </w:pPr>
    </w:p>
    <w:p w14:paraId="3D5E73F1"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Hayden Brown</w:t>
      </w:r>
    </w:p>
    <w:p w14:paraId="6B92B6F8"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2018</w:t>
      </w:r>
    </w:p>
    <w:p w14:paraId="768240CD" w14:textId="77777777" w:rsidR="00D81C86" w:rsidRDefault="00D81C86">
      <w:r>
        <w:br w:type="page"/>
      </w:r>
    </w:p>
    <w:p w14:paraId="7DFCEA49" w14:textId="77777777" w:rsidR="00D81C86" w:rsidRDefault="00D81C86"/>
    <w:p w14:paraId="6AB4EF6C" w14:textId="77777777" w:rsidR="00D81C86" w:rsidRDefault="00D81C86"/>
    <w:p w14:paraId="3A51FAA5" w14:textId="77777777" w:rsidR="00D81C86" w:rsidRDefault="00D81C86"/>
    <w:p w14:paraId="760961CE" w14:textId="77777777" w:rsidR="00F04EAA" w:rsidRDefault="00F04EAA">
      <w:r>
        <w:br w:type="page"/>
      </w:r>
    </w:p>
    <w:p w14:paraId="60FA222E" w14:textId="77777777" w:rsidR="00D63C18" w:rsidRPr="005C3349" w:rsidRDefault="00903715" w:rsidP="00D63C18">
      <w:pPr>
        <w:jc w:val="center"/>
        <w:rPr>
          <w:rFonts w:ascii="Times New Roman" w:hAnsi="Times New Roman" w:cs="Times New Roman"/>
          <w:sz w:val="44"/>
          <w:szCs w:val="44"/>
        </w:rPr>
      </w:pPr>
      <w:r>
        <w:rPr>
          <w:rFonts w:ascii="Times New Roman" w:hAnsi="Times New Roman" w:cs="Times New Roman"/>
          <w:sz w:val="44"/>
          <w:szCs w:val="44"/>
        </w:rPr>
        <w:lastRenderedPageBreak/>
        <w:t>INDEX</w:t>
      </w:r>
    </w:p>
    <w:p w14:paraId="76FE32C6" w14:textId="77777777" w:rsidR="00D63C18" w:rsidRPr="005C3349" w:rsidRDefault="00D63C18" w:rsidP="00D63C18">
      <w:pPr>
        <w:tabs>
          <w:tab w:val="right" w:leader="dot" w:pos="8222"/>
        </w:tabs>
        <w:spacing w:before="40"/>
        <w:ind w:right="-1"/>
        <w:rPr>
          <w:rFonts w:ascii="Times New Roman" w:hAnsi="Times New Roman" w:cs="Times New Roman"/>
        </w:rPr>
      </w:pPr>
    </w:p>
    <w:p w14:paraId="10EEBDA2"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Nature of Evidence Weighed by the Tribunal</w:t>
      </w:r>
      <w:r w:rsidRPr="00E43F9F">
        <w:rPr>
          <w:rFonts w:ascii="Times New Roman" w:hAnsi="Times New Roman" w:cs="Times New Roman"/>
          <w:b/>
          <w:color w:val="17365D" w:themeColor="text2" w:themeShade="BF"/>
        </w:rPr>
        <w:tab/>
        <w:t>1</w:t>
      </w:r>
    </w:p>
    <w:p w14:paraId="31EDB25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Weight given to VCGLR decisions</w:t>
      </w:r>
      <w:r w:rsidRPr="005C3349">
        <w:rPr>
          <w:rFonts w:ascii="Times New Roman" w:hAnsi="Times New Roman" w:cs="Times New Roman"/>
        </w:rPr>
        <w:tab/>
        <w:t>1</w:t>
      </w:r>
    </w:p>
    <w:p w14:paraId="06DE855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Scope of decisions</w:t>
      </w:r>
      <w:r w:rsidRPr="005C3349">
        <w:rPr>
          <w:rFonts w:ascii="Times New Roman" w:hAnsi="Times New Roman" w:cs="Times New Roman"/>
        </w:rPr>
        <w:tab/>
        <w:t>1</w:t>
      </w:r>
    </w:p>
    <w:p w14:paraId="21AD87F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Marginal impact of decisions is the key consideration</w:t>
      </w:r>
      <w:r w:rsidRPr="005C3349">
        <w:rPr>
          <w:rFonts w:ascii="Times New Roman" w:hAnsi="Times New Roman" w:cs="Times New Roman"/>
        </w:rPr>
        <w:tab/>
        <w:t>3</w:t>
      </w:r>
    </w:p>
    <w:p w14:paraId="1945B4C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Quality and presentation of evidence</w:t>
      </w:r>
      <w:r w:rsidRPr="005C3349">
        <w:rPr>
          <w:rFonts w:ascii="Times New Roman" w:hAnsi="Times New Roman" w:cs="Times New Roman"/>
        </w:rPr>
        <w:tab/>
        <w:t>3</w:t>
      </w:r>
    </w:p>
    <w:p w14:paraId="2235B414"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The value of witnesses</w:t>
      </w:r>
      <w:r w:rsidRPr="005C3349">
        <w:rPr>
          <w:rFonts w:ascii="Times New Roman" w:hAnsi="Times New Roman" w:cs="Times New Roman"/>
        </w:rPr>
        <w:tab/>
        <w:t>4</w:t>
      </w:r>
    </w:p>
    <w:p w14:paraId="014A1F1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Locality of relevance – including socioeconomic conditions</w:t>
      </w:r>
      <w:r w:rsidRPr="005C3349">
        <w:rPr>
          <w:rFonts w:ascii="Times New Roman" w:hAnsi="Times New Roman" w:cs="Times New Roman"/>
        </w:rPr>
        <w:tab/>
        <w:t>4</w:t>
      </w:r>
    </w:p>
    <w:p w14:paraId="13965A5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 xml:space="preserve">Conditions in venue catchment more relevant than those within </w:t>
      </w:r>
    </w:p>
    <w:p w14:paraId="0A1497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a narrower or wider scope</w:t>
      </w:r>
      <w:r w:rsidRPr="005C3349">
        <w:rPr>
          <w:rFonts w:ascii="Times New Roman" w:hAnsi="Times New Roman" w:cs="Times New Roman"/>
        </w:rPr>
        <w:tab/>
        <w:t>5</w:t>
      </w:r>
    </w:p>
    <w:p w14:paraId="5314EF5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652DEFEC"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Benefits and Liabilities Attributed to Applications</w:t>
      </w:r>
      <w:r w:rsidRPr="00E43F9F">
        <w:rPr>
          <w:rFonts w:ascii="Times New Roman" w:hAnsi="Times New Roman" w:cs="Times New Roman"/>
          <w:b/>
          <w:color w:val="17365D" w:themeColor="text2" w:themeShade="BF"/>
        </w:rPr>
        <w:tab/>
        <w:t>6</w:t>
      </w:r>
    </w:p>
    <w:p w14:paraId="2E5A0BB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Proximity to shopping centres and sensitive locations</w:t>
      </w:r>
      <w:r w:rsidRPr="005C3349">
        <w:rPr>
          <w:rFonts w:ascii="Times New Roman" w:hAnsi="Times New Roman" w:cs="Times New Roman"/>
        </w:rPr>
        <w:tab/>
        <w:t>6</w:t>
      </w:r>
    </w:p>
    <w:p w14:paraId="4F7F992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Convenience and destination venues</w:t>
      </w:r>
      <w:r w:rsidRPr="005C3349">
        <w:rPr>
          <w:rFonts w:ascii="Times New Roman" w:hAnsi="Times New Roman" w:cs="Times New Roman"/>
        </w:rPr>
        <w:tab/>
        <w:t>6</w:t>
      </w:r>
    </w:p>
    <w:p w14:paraId="6D2295A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Refurbishments</w:t>
      </w:r>
      <w:r w:rsidRPr="005C3349">
        <w:rPr>
          <w:rFonts w:ascii="Times New Roman" w:hAnsi="Times New Roman" w:cs="Times New Roman"/>
        </w:rPr>
        <w:tab/>
        <w:t>7</w:t>
      </w:r>
    </w:p>
    <w:p w14:paraId="62D3FB8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Other venue characteristics</w:t>
      </w:r>
      <w:r w:rsidRPr="005C3349">
        <w:rPr>
          <w:rFonts w:ascii="Times New Roman" w:hAnsi="Times New Roman" w:cs="Times New Roman"/>
        </w:rPr>
        <w:tab/>
        <w:t>8</w:t>
      </w:r>
    </w:p>
    <w:p w14:paraId="7964B451"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Reduced venue opening hours</w:t>
      </w:r>
      <w:r w:rsidRPr="005C3349">
        <w:rPr>
          <w:rFonts w:ascii="Times New Roman" w:hAnsi="Times New Roman" w:cs="Times New Roman"/>
          <w:sz w:val="20"/>
          <w:szCs w:val="20"/>
        </w:rPr>
        <w:tab/>
        <w:t>8</w:t>
      </w:r>
    </w:p>
    <w:p w14:paraId="27667E90"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A reduction in anonymity of gaming patrons at the venue</w:t>
      </w:r>
      <w:r w:rsidRPr="005C3349">
        <w:rPr>
          <w:rFonts w:ascii="Times New Roman" w:hAnsi="Times New Roman" w:cs="Times New Roman"/>
          <w:sz w:val="20"/>
          <w:szCs w:val="20"/>
        </w:rPr>
        <w:tab/>
        <w:t>8</w:t>
      </w:r>
    </w:p>
    <w:p w14:paraId="22122CF6"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Staff training and dedication to responsible gambling practices</w:t>
      </w:r>
      <w:r w:rsidRPr="005C3349">
        <w:rPr>
          <w:rFonts w:ascii="Times New Roman" w:hAnsi="Times New Roman" w:cs="Times New Roman"/>
          <w:sz w:val="20"/>
          <w:szCs w:val="20"/>
        </w:rPr>
        <w:tab/>
        <w:t>8</w:t>
      </w:r>
    </w:p>
    <w:p w14:paraId="2E539A42"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Screening of gaming room/obscuring gaming area</w:t>
      </w:r>
      <w:r w:rsidRPr="005C3349">
        <w:rPr>
          <w:rFonts w:ascii="Times New Roman" w:hAnsi="Times New Roman" w:cs="Times New Roman"/>
          <w:sz w:val="20"/>
          <w:szCs w:val="20"/>
        </w:rPr>
        <w:tab/>
        <w:t>9</w:t>
      </w:r>
    </w:p>
    <w:p w14:paraId="585194FD"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Surveillance of gaming room</w:t>
      </w:r>
      <w:r w:rsidRPr="005C3349">
        <w:rPr>
          <w:rFonts w:ascii="Times New Roman" w:hAnsi="Times New Roman" w:cs="Times New Roman"/>
          <w:sz w:val="20"/>
          <w:szCs w:val="20"/>
        </w:rPr>
        <w:tab/>
        <w:t>9</w:t>
      </w:r>
    </w:p>
    <w:p w14:paraId="4CCDA4E5"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Well-presented venues</w:t>
      </w:r>
      <w:r w:rsidRPr="005C3349">
        <w:rPr>
          <w:rFonts w:ascii="Times New Roman" w:hAnsi="Times New Roman" w:cs="Times New Roman"/>
          <w:sz w:val="20"/>
          <w:szCs w:val="20"/>
        </w:rPr>
        <w:tab/>
        <w:t>9</w:t>
      </w:r>
    </w:p>
    <w:p w14:paraId="083BD01E"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Non-gaming alternatives at venue</w:t>
      </w:r>
      <w:r w:rsidRPr="005C3349">
        <w:rPr>
          <w:rFonts w:ascii="Times New Roman" w:hAnsi="Times New Roman" w:cs="Times New Roman"/>
          <w:sz w:val="20"/>
          <w:szCs w:val="20"/>
        </w:rPr>
        <w:tab/>
        <w:t>9</w:t>
      </w:r>
    </w:p>
    <w:p w14:paraId="79ABCA17"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Balance between gaming and non-gaming activities</w:t>
      </w:r>
      <w:r w:rsidRPr="005C3349">
        <w:rPr>
          <w:rFonts w:ascii="Times New Roman" w:hAnsi="Times New Roman" w:cs="Times New Roman"/>
          <w:sz w:val="20"/>
          <w:szCs w:val="20"/>
        </w:rPr>
        <w:tab/>
      </w:r>
      <w:r w:rsidR="00F32107">
        <w:rPr>
          <w:rFonts w:ascii="Times New Roman" w:hAnsi="Times New Roman" w:cs="Times New Roman"/>
          <w:sz w:val="20"/>
          <w:szCs w:val="20"/>
        </w:rPr>
        <w:t>10</w:t>
      </w:r>
    </w:p>
    <w:p w14:paraId="4E74C13A" w14:textId="77777777" w:rsidR="00D63C18" w:rsidRPr="005C3349" w:rsidRDefault="00D63C18" w:rsidP="00D63C18">
      <w:pPr>
        <w:tabs>
          <w:tab w:val="right" w:leader="dot" w:pos="7655"/>
          <w:tab w:val="right" w:leader="dot" w:pos="8222"/>
        </w:tabs>
        <w:spacing w:before="120"/>
        <w:ind w:left="992"/>
        <w:rPr>
          <w:rFonts w:ascii="Times New Roman" w:hAnsi="Times New Roman" w:cs="Times New Roman"/>
        </w:rPr>
      </w:pPr>
      <w:r w:rsidRPr="005C3349">
        <w:rPr>
          <w:rFonts w:ascii="Times New Roman" w:hAnsi="Times New Roman" w:cs="Times New Roman"/>
        </w:rPr>
        <w:t>Employment creation</w:t>
      </w:r>
      <w:r w:rsidRPr="005C3349">
        <w:rPr>
          <w:rFonts w:ascii="Times New Roman" w:hAnsi="Times New Roman" w:cs="Times New Roman"/>
        </w:rPr>
        <w:tab/>
        <w:t>10</w:t>
      </w:r>
    </w:p>
    <w:p w14:paraId="7025A50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contributions</w:t>
      </w:r>
      <w:r w:rsidRPr="005C3349">
        <w:rPr>
          <w:rFonts w:ascii="Times New Roman" w:hAnsi="Times New Roman" w:cs="Times New Roman"/>
        </w:rPr>
        <w:tab/>
        <w:t>10</w:t>
      </w:r>
    </w:p>
    <w:p w14:paraId="6F3A2C3A"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Benefits of non-problem gambling expenditure</w:t>
      </w:r>
      <w:r w:rsidRPr="005C3349">
        <w:rPr>
          <w:rFonts w:ascii="Times New Roman" w:hAnsi="Times New Roman" w:cs="Times New Roman"/>
        </w:rPr>
        <w:tab/>
        <w:t>11</w:t>
      </w:r>
    </w:p>
    <w:p w14:paraId="25BFAFF9"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competition and choice</w:t>
      </w:r>
      <w:r w:rsidRPr="005C3349">
        <w:rPr>
          <w:rFonts w:ascii="Times New Roman" w:hAnsi="Times New Roman" w:cs="Times New Roman"/>
        </w:rPr>
        <w:tab/>
        <w:t>12</w:t>
      </w:r>
    </w:p>
    <w:p w14:paraId="45CEA385" w14:textId="77777777" w:rsidR="00D63C18" w:rsidRPr="005C3349" w:rsidRDefault="00D63C18" w:rsidP="00D63C18">
      <w:pPr>
        <w:tabs>
          <w:tab w:val="right" w:leader="dot" w:pos="8222"/>
        </w:tabs>
        <w:spacing w:before="40"/>
        <w:ind w:left="993"/>
        <w:rPr>
          <w:rFonts w:ascii="Times New Roman" w:hAnsi="Times New Roman" w:cs="Times New Roman"/>
          <w:sz w:val="16"/>
          <w:szCs w:val="16"/>
        </w:rPr>
      </w:pPr>
    </w:p>
    <w:p w14:paraId="23640AC5"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The Extent and Nature of Gambling Problems</w:t>
      </w:r>
      <w:r w:rsidRPr="00E43F9F">
        <w:rPr>
          <w:rFonts w:ascii="Times New Roman" w:hAnsi="Times New Roman" w:cs="Times New Roman"/>
          <w:b/>
          <w:color w:val="17365D" w:themeColor="text2" w:themeShade="BF"/>
        </w:rPr>
        <w:tab/>
        <w:t>13</w:t>
      </w:r>
    </w:p>
    <w:p w14:paraId="4FFDFF2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Estimates of increased revenue</w:t>
      </w:r>
      <w:r w:rsidRPr="005C3349">
        <w:rPr>
          <w:rFonts w:ascii="Times New Roman" w:hAnsi="Times New Roman" w:cs="Times New Roman"/>
        </w:rPr>
        <w:tab/>
        <w:t>13</w:t>
      </w:r>
    </w:p>
    <w:p w14:paraId="5E32885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Some expenditure causes gambling problems</w:t>
      </w:r>
      <w:r w:rsidRPr="005C3349">
        <w:rPr>
          <w:rFonts w:ascii="Times New Roman" w:hAnsi="Times New Roman" w:cs="Times New Roman"/>
        </w:rPr>
        <w:tab/>
        <w:t>13</w:t>
      </w:r>
    </w:p>
    <w:p w14:paraId="53A506C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Net machine revenue</w:t>
      </w:r>
      <w:r w:rsidRPr="005C3349">
        <w:rPr>
          <w:rFonts w:ascii="Times New Roman" w:hAnsi="Times New Roman" w:cs="Times New Roman"/>
        </w:rPr>
        <w:tab/>
        <w:t>14</w:t>
      </w:r>
    </w:p>
    <w:p w14:paraId="7D031C8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Extent of gambling problems</w:t>
      </w:r>
      <w:r w:rsidRPr="005C3349">
        <w:rPr>
          <w:rFonts w:ascii="Times New Roman" w:hAnsi="Times New Roman" w:cs="Times New Roman"/>
        </w:rPr>
        <w:tab/>
        <w:t>14</w:t>
      </w:r>
    </w:p>
    <w:p w14:paraId="7B6B0F8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Socio-economic disadvantage aggravates gambling problems</w:t>
      </w:r>
      <w:r w:rsidRPr="005C3349">
        <w:rPr>
          <w:rFonts w:ascii="Times New Roman" w:hAnsi="Times New Roman" w:cs="Times New Roman"/>
        </w:rPr>
        <w:tab/>
        <w:t>15</w:t>
      </w:r>
    </w:p>
    <w:p w14:paraId="553FCB2B"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Types of disadvantage associated with gambling problems</w:t>
      </w:r>
      <w:r w:rsidRPr="005C3349">
        <w:rPr>
          <w:rFonts w:ascii="Times New Roman" w:hAnsi="Times New Roman" w:cs="Times New Roman"/>
        </w:rPr>
        <w:tab/>
        <w:t>16</w:t>
      </w:r>
    </w:p>
    <w:p w14:paraId="0B6206B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concerns</w:t>
      </w:r>
      <w:r w:rsidRPr="005C3349">
        <w:rPr>
          <w:rFonts w:ascii="Times New Roman" w:hAnsi="Times New Roman" w:cs="Times New Roman"/>
        </w:rPr>
        <w:tab/>
        <w:t>17</w:t>
      </w:r>
    </w:p>
    <w:p w14:paraId="4AA86901"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39D132FD"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Other Issues</w:t>
      </w:r>
      <w:r w:rsidRPr="00E43F9F">
        <w:rPr>
          <w:rFonts w:ascii="Times New Roman" w:hAnsi="Times New Roman" w:cs="Times New Roman"/>
          <w:b/>
          <w:color w:val="17365D" w:themeColor="text2" w:themeShade="BF"/>
        </w:rPr>
        <w:tab/>
        <w:t>18</w:t>
      </w:r>
    </w:p>
    <w:p w14:paraId="299DF5C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Council policies and plans</w:t>
      </w:r>
      <w:r w:rsidRPr="005C3349">
        <w:rPr>
          <w:rFonts w:ascii="Times New Roman" w:hAnsi="Times New Roman" w:cs="Times New Roman"/>
        </w:rPr>
        <w:tab/>
        <w:t>1</w:t>
      </w:r>
      <w:r>
        <w:rPr>
          <w:rFonts w:ascii="Times New Roman" w:hAnsi="Times New Roman" w:cs="Times New Roman"/>
        </w:rPr>
        <w:t>8</w:t>
      </w:r>
    </w:p>
    <w:p w14:paraId="2BEA429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Backfill</w:t>
      </w:r>
      <w:r w:rsidRPr="005C3349">
        <w:rPr>
          <w:rFonts w:ascii="Times New Roman" w:hAnsi="Times New Roman" w:cs="Times New Roman"/>
        </w:rPr>
        <w:tab/>
        <w:t>1</w:t>
      </w:r>
      <w:r>
        <w:rPr>
          <w:rFonts w:ascii="Times New Roman" w:hAnsi="Times New Roman" w:cs="Times New Roman"/>
        </w:rPr>
        <w:t>8</w:t>
      </w:r>
    </w:p>
    <w:p w14:paraId="55093A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gambling expenditure and local retail activity</w:t>
      </w:r>
      <w:r w:rsidRPr="005C3349">
        <w:rPr>
          <w:rFonts w:ascii="Times New Roman" w:hAnsi="Times New Roman" w:cs="Times New Roman"/>
        </w:rPr>
        <w:tab/>
        <w:t>1</w:t>
      </w:r>
      <w:r>
        <w:rPr>
          <w:rFonts w:ascii="Times New Roman" w:hAnsi="Times New Roman" w:cs="Times New Roman"/>
        </w:rPr>
        <w:t>8</w:t>
      </w:r>
    </w:p>
    <w:p w14:paraId="5E26660B" w14:textId="77777777" w:rsidR="00081E56" w:rsidRDefault="00081E56" w:rsidP="00D63C18">
      <w:pPr>
        <w:tabs>
          <w:tab w:val="right" w:leader="dot" w:pos="7655"/>
          <w:tab w:val="right" w:leader="dot" w:pos="8222"/>
        </w:tabs>
        <w:spacing w:before="40"/>
        <w:ind w:left="993"/>
        <w:rPr>
          <w:rFonts w:ascii="Times New Roman" w:hAnsi="Times New Roman" w:cs="Times New Roman"/>
        </w:rPr>
      </w:pPr>
      <w:r>
        <w:rPr>
          <w:rFonts w:ascii="Times New Roman" w:hAnsi="Times New Roman" w:cs="Times New Roman"/>
        </w:rPr>
        <w:t>Limited benefit of funds flowing to the government</w:t>
      </w:r>
      <w:r>
        <w:rPr>
          <w:rFonts w:ascii="Times New Roman" w:hAnsi="Times New Roman" w:cs="Times New Roman"/>
        </w:rPr>
        <w:tab/>
        <w:t>18</w:t>
      </w:r>
    </w:p>
    <w:p w14:paraId="0225ACE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Gambling problems and local services</w:t>
      </w:r>
      <w:r w:rsidRPr="005C3349">
        <w:rPr>
          <w:rFonts w:ascii="Times New Roman" w:hAnsi="Times New Roman" w:cs="Times New Roman"/>
        </w:rPr>
        <w:tab/>
        <w:t>1</w:t>
      </w:r>
      <w:r>
        <w:rPr>
          <w:rFonts w:ascii="Times New Roman" w:hAnsi="Times New Roman" w:cs="Times New Roman"/>
        </w:rPr>
        <w:t>8</w:t>
      </w:r>
    </w:p>
    <w:p w14:paraId="7A6806BE" w14:textId="77777777" w:rsidR="00D63C18"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Diversion of expenditure from other goods</w:t>
      </w:r>
      <w:r w:rsidRPr="005C3349">
        <w:rPr>
          <w:rFonts w:ascii="Times New Roman" w:hAnsi="Times New Roman" w:cs="Times New Roman"/>
        </w:rPr>
        <w:tab/>
        <w:t>1</w:t>
      </w:r>
      <w:r>
        <w:rPr>
          <w:rFonts w:ascii="Times New Roman" w:hAnsi="Times New Roman" w:cs="Times New Roman"/>
        </w:rPr>
        <w:t>8</w:t>
      </w:r>
    </w:p>
    <w:p w14:paraId="03D79087" w14:textId="77777777" w:rsidR="00D63C18" w:rsidRDefault="00D63C18" w:rsidP="00D63C18">
      <w:pPr>
        <w:tabs>
          <w:tab w:val="right" w:leader="dot" w:pos="7655"/>
          <w:tab w:val="right" w:leader="dot" w:pos="8222"/>
        </w:tabs>
        <w:spacing w:before="40"/>
        <w:rPr>
          <w:rFonts w:ascii="Times New Roman" w:hAnsi="Times New Roman" w:cs="Times New Roman"/>
        </w:rPr>
      </w:pPr>
    </w:p>
    <w:p w14:paraId="7FD04C01" w14:textId="77777777" w:rsidR="00D63C18" w:rsidRPr="00144851" w:rsidRDefault="00144851" w:rsidP="00144851">
      <w:pPr>
        <w:tabs>
          <w:tab w:val="right" w:leader="dot" w:pos="8222"/>
        </w:tabs>
        <w:spacing w:before="40"/>
        <w:ind w:left="993"/>
        <w:rPr>
          <w:rFonts w:ascii="Times New Roman" w:hAnsi="Times New Roman" w:cs="Times New Roman"/>
          <w:b/>
          <w:color w:val="17365D" w:themeColor="text2" w:themeShade="BF"/>
        </w:rPr>
      </w:pPr>
      <w:r w:rsidRPr="00144851">
        <w:rPr>
          <w:rFonts w:ascii="Times New Roman" w:hAnsi="Times New Roman" w:cs="Times New Roman"/>
          <w:b/>
          <w:color w:val="17365D" w:themeColor="text2" w:themeShade="BF"/>
        </w:rPr>
        <w:t>References</w:t>
      </w:r>
      <w:r w:rsidRPr="00144851">
        <w:rPr>
          <w:rFonts w:ascii="Times New Roman" w:hAnsi="Times New Roman" w:cs="Times New Roman"/>
          <w:b/>
          <w:color w:val="17365D" w:themeColor="text2" w:themeShade="BF"/>
        </w:rPr>
        <w:tab/>
        <w:t>19</w:t>
      </w:r>
    </w:p>
    <w:p w14:paraId="7500AEB5" w14:textId="77777777" w:rsidR="00F04EAA" w:rsidRDefault="00F04EAA">
      <w:pPr>
        <w:rPr>
          <w:rFonts w:asciiTheme="minorHAnsi" w:hAnsiTheme="minorHAnsi"/>
        </w:rPr>
      </w:pPr>
    </w:p>
    <w:p w14:paraId="363B48C5" w14:textId="77777777" w:rsidR="00F04EAA" w:rsidRDefault="00F04EAA">
      <w:pPr>
        <w:rPr>
          <w:rFonts w:asciiTheme="minorHAnsi" w:hAnsiTheme="minorHAnsi"/>
        </w:rPr>
        <w:sectPr w:rsidR="00F04EAA" w:rsidSect="00F04EAA">
          <w:pgSz w:w="11906" w:h="16838" w:code="9"/>
          <w:pgMar w:top="1134" w:right="1134" w:bottom="1134" w:left="1134" w:header="709" w:footer="709" w:gutter="0"/>
          <w:cols w:space="708"/>
          <w:docGrid w:linePitch="360"/>
        </w:sectPr>
      </w:pPr>
    </w:p>
    <w:p w14:paraId="1B638084" w14:textId="77777777" w:rsidR="004E16F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Review of Recent Gaming Decisions </w:t>
      </w:r>
    </w:p>
    <w:p w14:paraId="5345FE5A" w14:textId="77777777" w:rsidR="00D63C18" w:rsidRPr="00D63C1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by </w:t>
      </w:r>
      <w:r w:rsidR="004E16F8">
        <w:rPr>
          <w:rFonts w:ascii="Times New Roman" w:hAnsi="Times New Roman" w:cs="Times New Roman"/>
          <w:sz w:val="40"/>
          <w:szCs w:val="40"/>
        </w:rPr>
        <w:t>the Victorian Civil and Administrative Tribunal (</w:t>
      </w:r>
      <w:r w:rsidRPr="00D63C18">
        <w:rPr>
          <w:rFonts w:ascii="Times New Roman" w:hAnsi="Times New Roman" w:cs="Times New Roman"/>
          <w:sz w:val="40"/>
          <w:szCs w:val="40"/>
        </w:rPr>
        <w:t>VCAT</w:t>
      </w:r>
      <w:r w:rsidR="004E16F8">
        <w:rPr>
          <w:rFonts w:ascii="Times New Roman" w:hAnsi="Times New Roman" w:cs="Times New Roman"/>
          <w:sz w:val="40"/>
          <w:szCs w:val="40"/>
        </w:rPr>
        <w:t>)</w:t>
      </w:r>
    </w:p>
    <w:p w14:paraId="3F3B9797" w14:textId="77777777" w:rsidR="00D63C18" w:rsidRPr="00D63C18" w:rsidRDefault="00D63C18" w:rsidP="00D63C18">
      <w:pPr>
        <w:spacing w:line="312" w:lineRule="auto"/>
        <w:jc w:val="both"/>
        <w:rPr>
          <w:rFonts w:ascii="Times New Roman" w:hAnsi="Times New Roman" w:cs="Times New Roman"/>
        </w:rPr>
      </w:pPr>
    </w:p>
    <w:p w14:paraId="6C334DF9"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NATURE OF EVIDENCE WEIGHED BY THE TRIBUNAL</w:t>
      </w:r>
    </w:p>
    <w:p w14:paraId="07434CA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Weight given to VCGLR decisions</w:t>
      </w:r>
    </w:p>
    <w:p w14:paraId="3BE0A4F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VCAT considers prior findings of the VCGLR in relation to a case, when relevant evidence and conditions presented to the Tribunal are the same as those previously assessed by the </w:t>
      </w:r>
      <w:r w:rsidR="00603DF8">
        <w:rPr>
          <w:rFonts w:ascii="Times New Roman" w:hAnsi="Times New Roman" w:cs="Times New Roman"/>
          <w:color w:val="008000"/>
        </w:rPr>
        <w:t>Victorian Commission for Gambling and Liquor Regulation (</w:t>
      </w:r>
      <w:r w:rsidRPr="00D63C18">
        <w:rPr>
          <w:rFonts w:ascii="Times New Roman" w:hAnsi="Times New Roman" w:cs="Times New Roman"/>
          <w:color w:val="008000"/>
        </w:rPr>
        <w:t>VCGLR</w:t>
      </w:r>
      <w:r w:rsidR="00603DF8">
        <w:rPr>
          <w:rFonts w:ascii="Times New Roman" w:hAnsi="Times New Roman" w:cs="Times New Roman"/>
          <w:color w:val="008000"/>
        </w:rPr>
        <w:t>)</w:t>
      </w:r>
      <w:r w:rsidRPr="00D63C18">
        <w:rPr>
          <w:rFonts w:ascii="Times New Roman" w:hAnsi="Times New Roman" w:cs="Times New Roman"/>
          <w:color w:val="008000"/>
        </w:rPr>
        <w:t xml:space="preserve">. However, when the facts of a case are different – as for example, where an applicant changes their application before appearing at </w:t>
      </w:r>
      <w:r w:rsidR="00603DF8">
        <w:rPr>
          <w:rFonts w:ascii="Times New Roman" w:hAnsi="Times New Roman" w:cs="Times New Roman"/>
          <w:color w:val="008000"/>
        </w:rPr>
        <w:t>the Victorian Civil and Administrative Tribunal (</w:t>
      </w:r>
      <w:r w:rsidRPr="00D63C18">
        <w:rPr>
          <w:rFonts w:ascii="Times New Roman" w:hAnsi="Times New Roman" w:cs="Times New Roman"/>
          <w:color w:val="008000"/>
        </w:rPr>
        <w:t>VCAT</w:t>
      </w:r>
      <w:r w:rsidR="00603DF8">
        <w:rPr>
          <w:rFonts w:ascii="Times New Roman" w:hAnsi="Times New Roman" w:cs="Times New Roman"/>
          <w:color w:val="008000"/>
        </w:rPr>
        <w:t>)</w:t>
      </w:r>
      <w:r w:rsidRPr="00D63C18">
        <w:rPr>
          <w:rFonts w:ascii="Times New Roman" w:hAnsi="Times New Roman" w:cs="Times New Roman"/>
          <w:color w:val="008000"/>
        </w:rPr>
        <w:t xml:space="preserve"> – then the Tribunal ascribes less importance to a previous decision by the Commission.</w:t>
      </w:r>
    </w:p>
    <w:p w14:paraId="34259310"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The Tribunal</w:t>
      </w:r>
      <w:r w:rsidR="00D63C18" w:rsidRPr="00D63C18">
        <w:rPr>
          <w:rFonts w:ascii="Times New Roman" w:hAnsi="Times New Roman" w:cs="Times New Roman"/>
        </w:rPr>
        <w:t xml:space="preserve"> places “considerable but not overriding” weight upon the VCGLR decision (para. 19)</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087A5E8"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 applicant may alter the number of EGMs sought in a hearing before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from the number considered by the VCGLR (paras. 13-22)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EF467A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While allowing that </w:t>
      </w:r>
      <w:r w:rsidR="004E16F8">
        <w:rPr>
          <w:rFonts w:ascii="Times New Roman" w:hAnsi="Times New Roman" w:cs="Times New Roman"/>
        </w:rPr>
        <w:t xml:space="preserve">a previous </w:t>
      </w:r>
      <w:r w:rsidRPr="00D63C18">
        <w:rPr>
          <w:rFonts w:ascii="Times New Roman" w:hAnsi="Times New Roman" w:cs="Times New Roman"/>
        </w:rPr>
        <w:t>decision of Commission should be given weight, the Tribunal cautions that this would apply to a lesser extent if a</w:t>
      </w:r>
      <w:r w:rsidR="004E16F8">
        <w:rPr>
          <w:rFonts w:ascii="Times New Roman" w:hAnsi="Times New Roman" w:cs="Times New Roman"/>
        </w:rPr>
        <w:t xml:space="preserve"> current</w:t>
      </w:r>
      <w:r w:rsidRPr="00D63C18">
        <w:rPr>
          <w:rFonts w:ascii="Times New Roman" w:hAnsi="Times New Roman" w:cs="Times New Roman"/>
        </w:rPr>
        <w:t xml:space="preserve"> hearing involved different issues and evidence than that heard by the Commission (para. 21)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51388E1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Court of appeal has acknowledged the requirement of VCAT to give prior Commission decisions ‘considerable weight’ – which it has done, especially because witnesses and evidence are similar to the Commission hearing. However, in light of the fact that the evidence (including the expenditure estimate) and application (number of EGMs sought) are different, VCAT has difficulty giving much weight to the Commission decision (paras. 29-31)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01AFD2D7" w14:textId="77777777" w:rsidR="00D63C18" w:rsidRPr="00D63C18" w:rsidRDefault="00D63C18" w:rsidP="00D63C18">
      <w:pPr>
        <w:tabs>
          <w:tab w:val="left" w:pos="5505"/>
        </w:tabs>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While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accords </w:t>
      </w:r>
      <w:r w:rsidR="008664BB">
        <w:rPr>
          <w:rFonts w:ascii="Times New Roman" w:hAnsi="Times New Roman" w:cs="Times New Roman"/>
        </w:rPr>
        <w:t>“</w:t>
      </w:r>
      <w:r w:rsidRPr="00D63C18">
        <w:rPr>
          <w:rFonts w:ascii="Times New Roman" w:hAnsi="Times New Roman" w:cs="Times New Roman"/>
        </w:rPr>
        <w:t>considerable weight</w:t>
      </w:r>
      <w:r w:rsidR="008664BB">
        <w:rPr>
          <w:rFonts w:ascii="Times New Roman" w:hAnsi="Times New Roman" w:cs="Times New Roman"/>
        </w:rPr>
        <w:t>”</w:t>
      </w:r>
      <w:r w:rsidRPr="00D63C18">
        <w:rPr>
          <w:rFonts w:ascii="Times New Roman" w:hAnsi="Times New Roman" w:cs="Times New Roman"/>
        </w:rPr>
        <w:t xml:space="preserve"> of</w:t>
      </w:r>
      <w:r w:rsidR="008664BB">
        <w:rPr>
          <w:rFonts w:ascii="Times New Roman" w:hAnsi="Times New Roman" w:cs="Times New Roman"/>
        </w:rPr>
        <w:t xml:space="preserve"> the</w:t>
      </w:r>
      <w:r w:rsidRPr="00D63C18">
        <w:rPr>
          <w:rFonts w:ascii="Times New Roman" w:hAnsi="Times New Roman" w:cs="Times New Roman"/>
        </w:rPr>
        <w:t xml:space="preserve"> findings of </w:t>
      </w:r>
      <w:r w:rsidR="008664BB">
        <w:rPr>
          <w:rFonts w:ascii="Times New Roman" w:hAnsi="Times New Roman" w:cs="Times New Roman"/>
        </w:rPr>
        <w:t xml:space="preserve">the </w:t>
      </w:r>
      <w:r w:rsidRPr="00D63C18">
        <w:rPr>
          <w:rFonts w:ascii="Times New Roman" w:hAnsi="Times New Roman" w:cs="Times New Roman"/>
        </w:rPr>
        <w:t>VCGLR, differences in applications between the VCGLR hearing and VCAT are taken into account. (para. 11)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1382459" w14:textId="77777777" w:rsidR="008664BB" w:rsidRDefault="008664BB" w:rsidP="00D63C18">
      <w:pPr>
        <w:spacing w:line="312" w:lineRule="auto"/>
        <w:jc w:val="both"/>
        <w:rPr>
          <w:rFonts w:ascii="Times New Roman" w:hAnsi="Times New Roman" w:cs="Times New Roman"/>
          <w:b/>
          <w:color w:val="17365D" w:themeColor="text2" w:themeShade="BF"/>
        </w:rPr>
      </w:pPr>
    </w:p>
    <w:p w14:paraId="71D7448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Scope of decisions</w:t>
      </w:r>
    </w:p>
    <w:p w14:paraId="6A6D9403"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A VCAT hearing may relate to planning decisions, VCGLR decisions or both (para. 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08D4195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color w:val="008000"/>
        </w:rPr>
        <w:t>Where a VCAT hearing is convened to review a decision taken on planning grounds – usually by a council and based on clause 28.28 of the planning scheme - then the Tribunal focuses upon planning issues, such as the location and suitability of the premises for gambling.</w:t>
      </w:r>
    </w:p>
    <w:p w14:paraId="4BDC3DA6" w14:textId="77777777" w:rsidR="00D63C18" w:rsidRPr="00603DF8" w:rsidRDefault="00D63C18" w:rsidP="00D63C18">
      <w:pPr>
        <w:spacing w:before="6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considerations</w:t>
      </w:r>
    </w:p>
    <w:p w14:paraId="5B35E1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 “…the planning control is concerned with the appropriateness of the proposed location of the gaming machines and premises where they are to be installed rather than with gaming itself as a land use.”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(Elfah v Darebin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3D1896F5" w14:textId="77777777" w:rsidR="00D63C18" w:rsidRPr="00D63C18" w:rsidRDefault="008664BB" w:rsidP="00D63C18">
      <w:pPr>
        <w:spacing w:after="60" w:line="312" w:lineRule="auto"/>
        <w:jc w:val="both"/>
        <w:rPr>
          <w:rFonts w:ascii="Times New Roman" w:hAnsi="Times New Roman" w:cs="Times New Roman"/>
        </w:rPr>
      </w:pPr>
      <w:r>
        <w:rPr>
          <w:rFonts w:ascii="Times New Roman" w:hAnsi="Times New Roman" w:cs="Times New Roman"/>
        </w:rPr>
        <w:t>The r</w:t>
      </w:r>
      <w:r w:rsidR="00D63C18" w:rsidRPr="00D63C18">
        <w:rPr>
          <w:rFonts w:ascii="Times New Roman" w:hAnsi="Times New Roman" w:cs="Times New Roman"/>
        </w:rPr>
        <w:t xml:space="preserve">ole of VCAT in a planning application is under the Planning and Environment Act, to review “to what extent the proposal can be supported when assessed by Clause 28.28 of the planning scheme </w:t>
      </w:r>
      <w:r w:rsidR="004E16F8">
        <w:rPr>
          <w:rFonts w:ascii="Times New Roman" w:hAnsi="Times New Roman" w:cs="Times New Roman"/>
        </w:rPr>
        <w:t xml:space="preserve">of </w:t>
      </w:r>
      <w:r w:rsidR="00D63C18" w:rsidRPr="00D63C18">
        <w:rPr>
          <w:rFonts w:ascii="Times New Roman" w:hAnsi="Times New Roman" w:cs="Times New Roman"/>
        </w:rPr>
        <w:t xml:space="preserve">any relevant planning issues and whether…the proposal…deserves planning approval” (para. 16) </w:t>
      </w:r>
      <w:r w:rsidR="00D63C18" w:rsidRPr="0015534C">
        <w:rPr>
          <w:rFonts w:ascii="Times New Roman" w:hAnsi="Times New Roman" w:cs="Times New Roman"/>
          <w:sz w:val="18"/>
          <w:szCs w:val="18"/>
        </w:rPr>
        <w:t xml:space="preserve">(Benmara v Whittlesea CC </w:t>
      </w:r>
      <w:r w:rsidR="0015534C" w:rsidRPr="0015534C">
        <w:rPr>
          <w:rFonts w:ascii="Times New Roman" w:hAnsi="Times New Roman" w:cs="Times New Roman"/>
          <w:sz w:val="18"/>
          <w:szCs w:val="18"/>
        </w:rPr>
        <w:t>2015)</w:t>
      </w:r>
      <w:r w:rsidR="0015534C">
        <w:rPr>
          <w:rFonts w:ascii="Times New Roman" w:hAnsi="Times New Roman" w:cs="Times New Roman"/>
          <w:i/>
        </w:rPr>
        <w:t>.</w:t>
      </w:r>
    </w:p>
    <w:p w14:paraId="73641C5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Clause 52.28 requires a permit for installation of an EGM to ensure EGMs are situated in appropriate locations and premises, with consideration of the social/economic impact of their location and prohibit</w:t>
      </w:r>
      <w:r w:rsidR="004E16F8">
        <w:rPr>
          <w:rFonts w:ascii="Times New Roman" w:hAnsi="Times New Roman" w:cs="Times New Roman"/>
        </w:rPr>
        <w:t>s</w:t>
      </w:r>
      <w:r w:rsidRPr="00D63C18">
        <w:rPr>
          <w:rFonts w:ascii="Times New Roman" w:hAnsi="Times New Roman" w:cs="Times New Roman"/>
        </w:rPr>
        <w:t xml:space="preserve"> EGMs in specified shopping centres. The clause requires consideration of state and local planning frameworks, impact of the proposal on nearby land uses, compatibility of the proposal </w:t>
      </w:r>
      <w:r w:rsidR="004E16F8">
        <w:rPr>
          <w:rFonts w:ascii="Times New Roman" w:hAnsi="Times New Roman" w:cs="Times New Roman"/>
        </w:rPr>
        <w:t>with</w:t>
      </w:r>
      <w:r w:rsidRPr="00D63C18">
        <w:rPr>
          <w:rFonts w:ascii="Times New Roman" w:hAnsi="Times New Roman" w:cs="Times New Roman"/>
        </w:rPr>
        <w:t xml:space="preserve"> the site, whether the venue provides a full range of services to patrons.</w:t>
      </w:r>
      <w:r w:rsidR="008664BB">
        <w:rPr>
          <w:rFonts w:ascii="Times New Roman" w:hAnsi="Times New Roman" w:cs="Times New Roman"/>
        </w:rPr>
        <w:t xml:space="preserve"> (para. 10)</w:t>
      </w:r>
      <w:r w:rsidRPr="00D63C18">
        <w:rPr>
          <w:rFonts w:ascii="Times New Roman" w:hAnsi="Times New Roman" w:cs="Times New Roman"/>
          <w:i/>
        </w:rPr>
        <w:t xml:space="preserve"> </w:t>
      </w:r>
      <w:r w:rsidRPr="0015534C">
        <w:rPr>
          <w:rFonts w:ascii="Times New Roman" w:hAnsi="Times New Roman" w:cs="Times New Roman"/>
          <w:sz w:val="18"/>
          <w:szCs w:val="18"/>
        </w:rPr>
        <w:t xml:space="preserve">(Elfah v Darebin CC </w:t>
      </w:r>
      <w:r w:rsidR="0015534C" w:rsidRPr="0015534C">
        <w:rPr>
          <w:rFonts w:ascii="Times New Roman" w:hAnsi="Times New Roman" w:cs="Times New Roman"/>
          <w:sz w:val="18"/>
          <w:szCs w:val="18"/>
        </w:rPr>
        <w:t>2017).</w:t>
      </w:r>
    </w:p>
    <w:p w14:paraId="629FAED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color w:val="000000" w:themeColor="text1"/>
        </w:rPr>
        <w:t xml:space="preserve">Unlike VCGLR hearings, planning cases are largely determined by reference to the relevant planning schemes (para. 17) with “…emphasis upon social and economic impacts narrower in planning cases than in gaming </w:t>
      </w:r>
      <w:r w:rsidRPr="00D63C18">
        <w:rPr>
          <w:rFonts w:ascii="Times New Roman" w:hAnsi="Times New Roman" w:cs="Times New Roman"/>
        </w:rPr>
        <w:t>cases” (para. 18)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230420F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issue is the planning scheme, not “social/demographic implications of the proposal, as they have already been considered by the gambling commission” (para. 28). The Tribunal therefore concludes that VCAT could not refuse proposal due to the impact of gambling on the whole municipality as this issue had already been decided and “…is beyond the scope of the tribunal.” (para. 30) (1) It is however, the role of VCAT to determine the “extent to which the proposal can be supported when assessed against Clause 52.28 of the planning scheme” (para. 30) which is a</w:t>
      </w:r>
      <w:r w:rsidR="004E16F8">
        <w:rPr>
          <w:rFonts w:ascii="Times New Roman" w:hAnsi="Times New Roman" w:cs="Times New Roman"/>
        </w:rPr>
        <w:t xml:space="preserve"> planning review of the proposed</w:t>
      </w:r>
      <w:r w:rsidRPr="00D63C18">
        <w:rPr>
          <w:rFonts w:ascii="Times New Roman" w:hAnsi="Times New Roman" w:cs="Times New Roman"/>
        </w:rPr>
        <w:t xml:space="preserve"> addition of EGMs “with a narrower focus upon locational aspects of the proposal” (para. 27) </w:t>
      </w:r>
      <w:r w:rsidRPr="00D63C18">
        <w:rPr>
          <w:rFonts w:ascii="Times New Roman" w:hAnsi="Times New Roman" w:cs="Times New Roman"/>
          <w:sz w:val="18"/>
          <w:szCs w:val="18"/>
        </w:rPr>
        <w:t>(Baretta’s Langwarrin Pty Ltd v Frankston CC 2016)</w:t>
      </w:r>
    </w:p>
    <w:p w14:paraId="70706A0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Many social impacts of EGMs must be considered under the Gambling Regulation Act, whereas, “The issues that will be relevant in the context of considering a permit under clause 52.28 for use of the land for a hotel which will include gaming will be different.” (para. 18)</w:t>
      </w:r>
      <w:r w:rsidRPr="00D63C18">
        <w:rPr>
          <w:rFonts w:ascii="Times New Roman" w:hAnsi="Times New Roman" w:cs="Times New Roman"/>
          <w:i/>
        </w:rPr>
        <w:t xml:space="preserve"> </w:t>
      </w:r>
      <w:r w:rsidRPr="00D63C18">
        <w:rPr>
          <w:rFonts w:ascii="Times New Roman" w:hAnsi="Times New Roman" w:cs="Times New Roman"/>
          <w:sz w:val="18"/>
          <w:szCs w:val="18"/>
        </w:rPr>
        <w:t>(T C Rice v Cardinia SD 2018)</w:t>
      </w:r>
    </w:p>
    <w:p w14:paraId="23A1973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While the role of VCGLR under the Gambling Regulation Act is to consider the impact of the application upon a municipality [yet elsewhere notes that the VCAT Decision was focused upon </w:t>
      </w:r>
      <w:r w:rsidR="004E16F8">
        <w:rPr>
          <w:rFonts w:ascii="Times New Roman" w:hAnsi="Times New Roman" w:cs="Times New Roman"/>
        </w:rPr>
        <w:t xml:space="preserve">an </w:t>
      </w:r>
      <w:r w:rsidRPr="00D63C18">
        <w:rPr>
          <w:rFonts w:ascii="Times New Roman" w:hAnsi="Times New Roman" w:cs="Times New Roman"/>
        </w:rPr>
        <w:t>area within 2.5 km. of the venue] (para. 18) Council planning decisions and VCAT decisions have “a more narrow focus” which is to consider the impacts “…of the location of gaming machines” (para. 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r w:rsidRPr="00D63C18">
        <w:rPr>
          <w:rFonts w:ascii="Times New Roman" w:hAnsi="Times New Roman" w:cs="Times New Roman"/>
          <w:i/>
        </w:rPr>
        <w:t xml:space="preserve"> </w:t>
      </w:r>
    </w:p>
    <w:p w14:paraId="0933FE9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and gambling considerations</w:t>
      </w:r>
    </w:p>
    <w:p w14:paraId="2ABBA5C0"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If VCAT is reviewing a decision by the VCGLR, then it takes into consideration the Gambling Regulation Act, which places emphasis upon the social and economic impacts of a gambling application in the municipality where the venue is situated.</w:t>
      </w:r>
    </w:p>
    <w:p w14:paraId="7BD292FC"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If however, VCAT is reviewing both a planning and VCGLR decision, then both planning and socioeconomic implications of the application are considered.</w:t>
      </w:r>
    </w:p>
    <w:p w14:paraId="585DBE6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a case where planning and gaming approval are being decided, the Tribunal considers approval requirements of both the Gambling Regulation Act and planning considerations (para. 37)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w:t>
      </w:r>
      <w:r w:rsidRPr="00D63C18">
        <w:rPr>
          <w:rFonts w:ascii="Times New Roman" w:hAnsi="Times New Roman" w:cs="Times New Roman"/>
          <w:i/>
        </w:rPr>
        <w:t xml:space="preserve"> </w:t>
      </w:r>
    </w:p>
    <w:p w14:paraId="1F5DCB16"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w:t>
      </w:r>
      <w:r w:rsidR="00D63C18" w:rsidRPr="00D63C18">
        <w:rPr>
          <w:rFonts w:ascii="Times New Roman" w:hAnsi="Times New Roman" w:cs="Times New Roman"/>
        </w:rPr>
        <w:t>The application regime under the Gambling Regulation Act and Planning and Environment Act are separa</w:t>
      </w:r>
      <w:r>
        <w:rPr>
          <w:rFonts w:ascii="Times New Roman" w:hAnsi="Times New Roman" w:cs="Times New Roman"/>
        </w:rPr>
        <w:t>te and distinct – though linked”</w:t>
      </w:r>
      <w:r w:rsidR="00D63C18" w:rsidRPr="00D63C18">
        <w:rPr>
          <w:rFonts w:ascii="Times New Roman" w:hAnsi="Times New Roman" w:cs="Times New Roman"/>
        </w:rPr>
        <w:t xml:space="preserve"> (para. 12)</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6C44CCC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 net detriment test may not apply</w:t>
      </w:r>
    </w:p>
    <w:p w14:paraId="2670DA91" w14:textId="77777777" w:rsidR="00D63C18" w:rsidRPr="00D63C18" w:rsidRDefault="00D63C18" w:rsidP="00D63C18">
      <w:pPr>
        <w:tabs>
          <w:tab w:val="left" w:pos="5505"/>
        </w:tabs>
        <w:spacing w:line="312" w:lineRule="auto"/>
        <w:jc w:val="both"/>
        <w:rPr>
          <w:rFonts w:ascii="Times New Roman" w:hAnsi="Times New Roman" w:cs="Times New Roman"/>
        </w:rPr>
      </w:pPr>
      <w:r w:rsidRPr="00D63C18">
        <w:rPr>
          <w:rFonts w:ascii="Times New Roman" w:hAnsi="Times New Roman" w:cs="Times New Roman"/>
        </w:rPr>
        <w:t>No net detriment test</w:t>
      </w:r>
      <w:r w:rsidR="004E16F8">
        <w:rPr>
          <w:rFonts w:ascii="Times New Roman" w:hAnsi="Times New Roman" w:cs="Times New Roman"/>
        </w:rPr>
        <w:t xml:space="preserve"> [featured in the Gambling Regulation Act]</w:t>
      </w:r>
      <w:r w:rsidRPr="00D63C18">
        <w:rPr>
          <w:rFonts w:ascii="Times New Roman" w:hAnsi="Times New Roman" w:cs="Times New Roman"/>
        </w:rPr>
        <w:t xml:space="preserve"> does not determine the decision of VCAT. “The tribunal retains discretion in determining the matter regardless of </w:t>
      </w:r>
      <w:r w:rsidR="008664BB">
        <w:rPr>
          <w:rFonts w:ascii="Times New Roman" w:hAnsi="Times New Roman" w:cs="Times New Roman"/>
        </w:rPr>
        <w:t xml:space="preserve">the </w:t>
      </w:r>
      <w:r w:rsidRPr="00D63C18">
        <w:rPr>
          <w:rFonts w:ascii="Times New Roman" w:hAnsi="Times New Roman" w:cs="Times New Roman"/>
        </w:rPr>
        <w:t>outcome” of this test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7DB24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Matters given prior consideration by Commission</w:t>
      </w:r>
    </w:p>
    <w:p w14:paraId="3B2D6A8B"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Since</w:t>
      </w:r>
      <w:r w:rsidR="008664BB">
        <w:rPr>
          <w:rFonts w:ascii="Times New Roman" w:hAnsi="Times New Roman" w:cs="Times New Roman"/>
        </w:rPr>
        <w:t xml:space="preserve"> the</w:t>
      </w:r>
      <w:r w:rsidRPr="00D63C18">
        <w:rPr>
          <w:rFonts w:ascii="Times New Roman" w:hAnsi="Times New Roman" w:cs="Times New Roman"/>
        </w:rPr>
        <w:t xml:space="preserve"> VCGLR has approved the addition of EGMs and in the process considered the high expenditure on EGMs in the municipality, then the Tribunal </w:t>
      </w:r>
      <w:r w:rsidR="00D41242">
        <w:rPr>
          <w:rFonts w:ascii="Times New Roman" w:hAnsi="Times New Roman" w:cs="Times New Roman"/>
        </w:rPr>
        <w:t>gives</w:t>
      </w:r>
      <w:r w:rsidRPr="00D63C18">
        <w:rPr>
          <w:rFonts w:ascii="Times New Roman" w:hAnsi="Times New Roman" w:cs="Times New Roman"/>
        </w:rPr>
        <w:t xml:space="preserve"> no weight to council’s argument that the proposal should be refused due to excessive expenditure on EGMs in the municipality, adding that “this issue has already been resolved and is beyond the scope of this tribunal” (para. 16)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585D3009" w14:textId="77777777" w:rsidR="00D63C18" w:rsidRDefault="00D63C18" w:rsidP="00D63C18">
      <w:pPr>
        <w:spacing w:line="312" w:lineRule="auto"/>
        <w:jc w:val="both"/>
        <w:rPr>
          <w:rFonts w:ascii="Times New Roman" w:hAnsi="Times New Roman" w:cs="Times New Roman"/>
        </w:rPr>
      </w:pPr>
    </w:p>
    <w:p w14:paraId="0A08A56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Marginal impact of applications is the key consideration</w:t>
      </w:r>
    </w:p>
    <w:p w14:paraId="08BF56D7"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Changes that would result from the application – as distinct from alterations to the venue that would occur </w:t>
      </w:r>
      <w:r w:rsidR="008664BB">
        <w:rPr>
          <w:rFonts w:ascii="Times New Roman" w:hAnsi="Times New Roman" w:cs="Times New Roman"/>
          <w:color w:val="008000"/>
        </w:rPr>
        <w:t>regardless of the outcome</w:t>
      </w:r>
      <w:r w:rsidRPr="00D63C18">
        <w:rPr>
          <w:rFonts w:ascii="Times New Roman" w:hAnsi="Times New Roman" w:cs="Times New Roman"/>
          <w:color w:val="008000"/>
        </w:rPr>
        <w:t xml:space="preserve"> – are the sole focus of VCAT decisions. It is sometimes a matter of judgement though, whether a proposed change to the conduct or characteristics of a gaming venue is dependent upon the approval of the application, or not.</w:t>
      </w:r>
    </w:p>
    <w:p w14:paraId="2F731C7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Assessment of the application must look at marginal impact of the proposal – but not at all EGM expenditure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6E18016E" w14:textId="77777777" w:rsidR="00D63C18" w:rsidRPr="00D63C18" w:rsidRDefault="008664BB" w:rsidP="00D63C18">
      <w:pPr>
        <w:spacing w:after="60" w:line="312" w:lineRule="auto"/>
        <w:jc w:val="both"/>
        <w:rPr>
          <w:rFonts w:ascii="Times New Roman" w:hAnsi="Times New Roman" w:cs="Times New Roman"/>
          <w:sz w:val="18"/>
          <w:szCs w:val="18"/>
        </w:rPr>
      </w:pPr>
      <w:r>
        <w:rPr>
          <w:rFonts w:ascii="Times New Roman" w:hAnsi="Times New Roman" w:cs="Times New Roman"/>
        </w:rPr>
        <w:t>The c</w:t>
      </w:r>
      <w:r w:rsidR="00D63C18" w:rsidRPr="00D63C18">
        <w:rPr>
          <w:rFonts w:ascii="Times New Roman" w:hAnsi="Times New Roman" w:cs="Times New Roman"/>
        </w:rPr>
        <w:t>ase involves</w:t>
      </w:r>
      <w:r>
        <w:rPr>
          <w:rFonts w:ascii="Times New Roman" w:hAnsi="Times New Roman" w:cs="Times New Roman"/>
        </w:rPr>
        <w:t xml:space="preserve"> the</w:t>
      </w:r>
      <w:r w:rsidR="00D63C18" w:rsidRPr="00D63C18">
        <w:rPr>
          <w:rFonts w:ascii="Times New Roman" w:hAnsi="Times New Roman" w:cs="Times New Roman"/>
        </w:rPr>
        <w:t xml:space="preserve"> impact of additional EGMs, refurbishments and other parts of the application – but it does not concern the impact of the existing EGMs (para. 45).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9FBD0F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benefit of protective measures, proposed under the application, apply to existing machines – but this does not factor into assessment of new machines (para. 102)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8DA02D"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Council evidence about problem gambling expenditure was not accepted </w:t>
      </w:r>
      <w:r w:rsidR="008664BB">
        <w:rPr>
          <w:rFonts w:ascii="Times New Roman" w:hAnsi="Times New Roman" w:cs="Times New Roman"/>
        </w:rPr>
        <w:t xml:space="preserve">by the Tribunal </w:t>
      </w:r>
      <w:r w:rsidRPr="00D63C18">
        <w:rPr>
          <w:rFonts w:ascii="Times New Roman" w:hAnsi="Times New Roman" w:cs="Times New Roman"/>
        </w:rPr>
        <w:t xml:space="preserve">because it related to </w:t>
      </w:r>
      <w:r w:rsidRPr="00D63C18">
        <w:rPr>
          <w:rFonts w:ascii="Times New Roman" w:hAnsi="Times New Roman" w:cs="Times New Roman"/>
          <w:i/>
        </w:rPr>
        <w:t>all</w:t>
      </w:r>
      <w:r w:rsidRPr="00D63C18">
        <w:rPr>
          <w:rFonts w:ascii="Times New Roman" w:hAnsi="Times New Roman" w:cs="Times New Roman"/>
        </w:rPr>
        <w:t xml:space="preserve"> gaming expenditure rather than the marginal impact of this application and it assumed</w:t>
      </w:r>
      <w:r w:rsidR="008664BB">
        <w:rPr>
          <w:rFonts w:ascii="Times New Roman" w:hAnsi="Times New Roman" w:cs="Times New Roman"/>
        </w:rPr>
        <w:t xml:space="preserve"> the</w:t>
      </w:r>
      <w:r w:rsidRPr="00D63C18">
        <w:rPr>
          <w:rFonts w:ascii="Times New Roman" w:hAnsi="Times New Roman" w:cs="Times New Roman"/>
        </w:rPr>
        <w:t xml:space="preserve"> level of expenditure on new machines could be equal to that of existing EGMs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46BA8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Offer of venue to give grants to community was accorded little weight as it seemed likely that it would make such grants, regardless of the outcome of the application (para. 37)</w:t>
      </w:r>
      <w:r w:rsidRPr="00D63C18">
        <w:rPr>
          <w:rFonts w:ascii="Times New Roman" w:hAnsi="Times New Roman" w:cs="Times New Roman"/>
          <w:i/>
        </w:rPr>
        <w:t xml:space="preserve"> </w:t>
      </w:r>
      <w:r w:rsidRPr="00D63C18">
        <w:rPr>
          <w:rFonts w:ascii="Times New Roman" w:hAnsi="Times New Roman" w:cs="Times New Roman"/>
          <w:sz w:val="18"/>
          <w:szCs w:val="18"/>
        </w:rPr>
        <w:t>(Sporting Legends Club v Wellington SC 2016)</w:t>
      </w:r>
    </w:p>
    <w:p w14:paraId="546DF719" w14:textId="77777777" w:rsidR="00D63C18" w:rsidRPr="00D63C18" w:rsidRDefault="00B8663E"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ccepted that new </w:t>
      </w:r>
      <w:r w:rsidR="00A9677F">
        <w:rPr>
          <w:rFonts w:ascii="Times New Roman" w:hAnsi="Times New Roman" w:cs="Times New Roman"/>
        </w:rPr>
        <w:t>“</w:t>
      </w:r>
      <w:r w:rsidR="00D63C18" w:rsidRPr="00D63C18">
        <w:rPr>
          <w:rFonts w:ascii="Times New Roman" w:hAnsi="Times New Roman" w:cs="Times New Roman"/>
        </w:rPr>
        <w:t>protective</w:t>
      </w:r>
      <w:r w:rsidR="00A9677F">
        <w:rPr>
          <w:rFonts w:ascii="Times New Roman" w:hAnsi="Times New Roman" w:cs="Times New Roman"/>
        </w:rPr>
        <w:t>”</w:t>
      </w:r>
      <w:r w:rsidR="00D63C18" w:rsidRPr="00D63C18">
        <w:rPr>
          <w:rFonts w:ascii="Times New Roman" w:hAnsi="Times New Roman" w:cs="Times New Roman"/>
        </w:rPr>
        <w:t xml:space="preserve"> factors proposed by the venue would only occur if the application was successful, making these measures a part of the application to be assessed and a prospective benefit (para. 83)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9AD6D2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[This means that the refurbishments</w:t>
      </w:r>
      <w:r w:rsidR="008664BB">
        <w:rPr>
          <w:rFonts w:ascii="Times New Roman" w:hAnsi="Times New Roman" w:cs="Times New Roman"/>
        </w:rPr>
        <w:t>,</w:t>
      </w:r>
      <w:r w:rsidRPr="00D63C18">
        <w:rPr>
          <w:rFonts w:ascii="Times New Roman" w:hAnsi="Times New Roman" w:cs="Times New Roman"/>
        </w:rPr>
        <w:t xml:space="preserve"> which the applicant maintains are dependent upon the revenue from further EGMs, must be regarded as a marginal benefit of the application]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D420AD3" w14:textId="77777777" w:rsidR="00D63C18" w:rsidRPr="00D63C18" w:rsidRDefault="00D63C18" w:rsidP="00D63C18">
      <w:pPr>
        <w:spacing w:line="312" w:lineRule="auto"/>
        <w:jc w:val="both"/>
        <w:rPr>
          <w:rFonts w:ascii="Times New Roman" w:hAnsi="Times New Roman" w:cs="Times New Roman"/>
        </w:rPr>
      </w:pPr>
    </w:p>
    <w:p w14:paraId="59A6125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Quality and presentation of evidence </w:t>
      </w:r>
    </w:p>
    <w:p w14:paraId="5319D38A"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The Tribunal has repeatedly stressed the need for evidence to corroborate claims made by parties to hearings. Curiously though – as in assessing the relationship between socio-economic conditions and gambling problems – it has exhibited an imprudent propensity to reach firm conclusions without the support of evidence. Evidence, VCAT holds, should relate to the specific characteristics of the application and its likely impact upon the community, rather than depending upon general propositions about the effect of gambling.</w:t>
      </w:r>
    </w:p>
    <w:p w14:paraId="20D549B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Requirement for Evidence to Support Assertions made before the Tribunal</w:t>
      </w:r>
    </w:p>
    <w:p w14:paraId="317A09F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"Any party that asserts a relevant fact or contention must provide sufficient probative material, legal authority or logical reasoning to support the fact or contention” (para. 44).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DCEE5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Council did not substantiate its concerns about problem gambling – but made </w:t>
      </w:r>
      <w:r w:rsidR="00A9677F">
        <w:rPr>
          <w:rFonts w:ascii="Times New Roman" w:hAnsi="Times New Roman" w:cs="Times New Roman"/>
        </w:rPr>
        <w:t>“</w:t>
      </w:r>
      <w:r w:rsidRPr="00D63C18">
        <w:rPr>
          <w:rFonts w:ascii="Times New Roman" w:hAnsi="Times New Roman" w:cs="Times New Roman"/>
        </w:rPr>
        <w:t>bare assertions</w:t>
      </w:r>
      <w:r w:rsidR="00A9677F">
        <w:rPr>
          <w:rFonts w:ascii="Times New Roman" w:hAnsi="Times New Roman" w:cs="Times New Roman"/>
        </w:rPr>
        <w:t>”</w:t>
      </w:r>
      <w:r w:rsidRPr="00D63C18">
        <w:rPr>
          <w:rFonts w:ascii="Times New Roman" w:hAnsi="Times New Roman" w:cs="Times New Roman"/>
        </w:rPr>
        <w:t xml:space="preserve"> (para. 39) </w:t>
      </w:r>
      <w:r w:rsidRPr="00D63C18">
        <w:rPr>
          <w:rFonts w:ascii="Times New Roman" w:hAnsi="Times New Roman" w:cs="Times New Roman"/>
          <w:sz w:val="18"/>
          <w:szCs w:val="18"/>
        </w:rPr>
        <w:t>(Baretta’s Langwarrin Pty Ltd v Frankston CC 2016)</w:t>
      </w:r>
    </w:p>
    <w:p w14:paraId="03B086DB"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Parties must provide sound evidence to support assertions brought before VCAT (para. 12)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6322DB7"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Any council claiming </w:t>
      </w:r>
      <w:r w:rsidR="008664BB">
        <w:rPr>
          <w:rFonts w:ascii="Times New Roman" w:hAnsi="Times New Roman" w:cs="Times New Roman"/>
        </w:rPr>
        <w:t>“</w:t>
      </w:r>
      <w:r w:rsidRPr="00D63C18">
        <w:rPr>
          <w:rFonts w:ascii="Times New Roman" w:hAnsi="Times New Roman" w:cs="Times New Roman"/>
        </w:rPr>
        <w:t>an increased risk of problem gambling</w:t>
      </w:r>
      <w:r w:rsidR="008664BB">
        <w:rPr>
          <w:rFonts w:ascii="Times New Roman" w:hAnsi="Times New Roman" w:cs="Times New Roman"/>
        </w:rPr>
        <w:t>”</w:t>
      </w:r>
      <w:r w:rsidRPr="00D63C18">
        <w:rPr>
          <w:rFonts w:ascii="Times New Roman" w:hAnsi="Times New Roman" w:cs="Times New Roman"/>
        </w:rPr>
        <w:t xml:space="preserve"> should provide evidence and sufficient probative materials </w:t>
      </w:r>
      <w:r w:rsidR="004E16F8">
        <w:rPr>
          <w:rFonts w:ascii="Times New Roman" w:hAnsi="Times New Roman" w:cs="Times New Roman"/>
        </w:rPr>
        <w:t xml:space="preserve">[that is, proof or evidence] </w:t>
      </w:r>
      <w:r w:rsidRPr="00D63C18">
        <w:rPr>
          <w:rFonts w:ascii="Times New Roman" w:hAnsi="Times New Roman" w:cs="Times New Roman"/>
        </w:rPr>
        <w:t xml:space="preserve">and not </w:t>
      </w:r>
      <w:r w:rsidR="008664BB">
        <w:rPr>
          <w:rFonts w:ascii="Times New Roman" w:hAnsi="Times New Roman" w:cs="Times New Roman"/>
        </w:rPr>
        <w:t>“</w:t>
      </w:r>
      <w:r w:rsidRPr="00D63C18">
        <w:rPr>
          <w:rFonts w:ascii="Times New Roman" w:hAnsi="Times New Roman" w:cs="Times New Roman"/>
        </w:rPr>
        <w:t>mere assertions</w:t>
      </w:r>
      <w:r w:rsidR="008664BB">
        <w:rPr>
          <w:rFonts w:ascii="Times New Roman" w:hAnsi="Times New Roman" w:cs="Times New Roman"/>
        </w:rPr>
        <w:t>”</w:t>
      </w:r>
      <w:r w:rsidRPr="00D63C18">
        <w:rPr>
          <w:rFonts w:ascii="Times New Roman" w:hAnsi="Times New Roman" w:cs="Times New Roman"/>
        </w:rPr>
        <w:t xml:space="preserve"> (para. 143) – cited Kingfish Victoria Pty Ltd 2013 and Mt Alexander SC vs VCGLR and Ors 2013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6E109B1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Evidence should relate to the particular features of the application</w:t>
      </w:r>
    </w:p>
    <w:p w14:paraId="0E1BE5B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Testimony of a council witness was criticised for not dealing with conditions local to the venue – that is, for not “…relating to this particular proposal and the particular demographics of this…location” (para. 88)</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F48048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A Preference for a </w:t>
      </w:r>
      <w:r w:rsidR="00A9677F">
        <w:rPr>
          <w:rFonts w:ascii="Times New Roman" w:hAnsi="Times New Roman" w:cs="Times New Roman"/>
          <w:i/>
          <w:color w:val="17365D" w:themeColor="text2" w:themeShade="BF"/>
        </w:rPr>
        <w:t>t</w:t>
      </w:r>
      <w:r w:rsidRPr="00603DF8">
        <w:rPr>
          <w:rFonts w:ascii="Times New Roman" w:hAnsi="Times New Roman" w:cs="Times New Roman"/>
          <w:i/>
          <w:color w:val="17365D" w:themeColor="text2" w:themeShade="BF"/>
        </w:rPr>
        <w:t xml:space="preserve">abular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 xml:space="preserve">ummary of </w:t>
      </w:r>
      <w:r w:rsidR="00A9677F">
        <w:rPr>
          <w:rFonts w:ascii="Times New Roman" w:hAnsi="Times New Roman" w:cs="Times New Roman"/>
          <w:i/>
          <w:color w:val="17365D" w:themeColor="text2" w:themeShade="BF"/>
        </w:rPr>
        <w:t>e</w:t>
      </w:r>
      <w:r w:rsidRPr="00603DF8">
        <w:rPr>
          <w:rFonts w:ascii="Times New Roman" w:hAnsi="Times New Roman" w:cs="Times New Roman"/>
          <w:i/>
          <w:color w:val="17365D" w:themeColor="text2" w:themeShade="BF"/>
        </w:rPr>
        <w:t xml:space="preserve">vidence to </w:t>
      </w:r>
      <w:r w:rsidR="00A9677F">
        <w:rPr>
          <w:rFonts w:ascii="Times New Roman" w:hAnsi="Times New Roman" w:cs="Times New Roman"/>
          <w:i/>
          <w:color w:val="17365D" w:themeColor="text2" w:themeShade="BF"/>
        </w:rPr>
        <w:t>a</w:t>
      </w:r>
      <w:r w:rsidRPr="00603DF8">
        <w:rPr>
          <w:rFonts w:ascii="Times New Roman" w:hAnsi="Times New Roman" w:cs="Times New Roman"/>
          <w:i/>
          <w:color w:val="17365D" w:themeColor="text2" w:themeShade="BF"/>
        </w:rPr>
        <w:t xml:space="preserve">ccompany any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ubmission</w:t>
      </w:r>
    </w:p>
    <w:p w14:paraId="68E29C96" w14:textId="77777777" w:rsidR="00D63C18" w:rsidRPr="00D63C18" w:rsidRDefault="00D63C18" w:rsidP="00D63C18">
      <w:pPr>
        <w:spacing w:line="312" w:lineRule="auto"/>
        <w:jc w:val="both"/>
        <w:rPr>
          <w:rFonts w:ascii="Times New Roman" w:hAnsi="Times New Roman" w:cs="Times New Roman"/>
          <w:color w:val="C00000"/>
        </w:rPr>
      </w:pPr>
      <w:r w:rsidRPr="00D63C18">
        <w:rPr>
          <w:rFonts w:ascii="Times New Roman" w:hAnsi="Times New Roman" w:cs="Times New Roman"/>
          <w:color w:val="000000" w:themeColor="text1"/>
        </w:rPr>
        <w:t xml:space="preserve">The Tribunal contends that it favours presentation of </w:t>
      </w:r>
      <w:r w:rsidR="003627B1">
        <w:rPr>
          <w:rFonts w:ascii="Times New Roman" w:hAnsi="Times New Roman" w:cs="Times New Roman"/>
          <w:color w:val="000000" w:themeColor="text1"/>
        </w:rPr>
        <w:t xml:space="preserve">summary </w:t>
      </w:r>
      <w:r w:rsidRPr="00D63C18">
        <w:rPr>
          <w:rFonts w:ascii="Times New Roman" w:hAnsi="Times New Roman" w:cs="Times New Roman"/>
          <w:color w:val="000000" w:themeColor="text1"/>
        </w:rPr>
        <w:t xml:space="preserve">information about benefits and detriments of an application in table form (para. 11) </w:t>
      </w:r>
      <w:r w:rsidRPr="0015534C">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589E15C2" w14:textId="77777777" w:rsidR="00D63C18" w:rsidRPr="00D63C18" w:rsidRDefault="00D63C18" w:rsidP="00D63C18">
      <w:pPr>
        <w:spacing w:line="312" w:lineRule="auto"/>
        <w:jc w:val="both"/>
        <w:rPr>
          <w:rFonts w:ascii="Times New Roman" w:hAnsi="Times New Roman" w:cs="Times New Roman"/>
        </w:rPr>
      </w:pPr>
    </w:p>
    <w:p w14:paraId="43B5A99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The value of witnesses</w:t>
      </w:r>
    </w:p>
    <w:p w14:paraId="2B36DD5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accords more weight to evidence presented by a council if it presents witnesses at a hearing to give their testimony and submit to cross-examination. The credibility accorded to such witnesses may, in turn, depend upon their level of expertise in matters which fall within the scope of their testimony.</w:t>
      </w:r>
    </w:p>
    <w:p w14:paraId="72D63F4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argues that council compromised its case by not calling expert witnesses and leaving i</w:t>
      </w:r>
      <w:r w:rsidR="003627B1">
        <w:rPr>
          <w:rFonts w:ascii="Times New Roman" w:hAnsi="Times New Roman" w:cs="Times New Roman"/>
        </w:rPr>
        <w:t>t</w:t>
      </w:r>
      <w:r w:rsidRPr="00D63C18">
        <w:rPr>
          <w:rFonts w:ascii="Times New Roman" w:hAnsi="Times New Roman" w:cs="Times New Roman"/>
        </w:rPr>
        <w:t xml:space="preserve">s counsel to “advocate singly, making submissions from the bar table”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204562A1"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Since the council did not present a witness for cross-examination, counsel for the Commission cross-examined witnesses (para. 57, 52). Adds that it relied upon a written submission presented by Council to the VCGLR (para. 52)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E56F0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VCAT can give only limited weight to the testimony of council witnesses who appeared at an earlier VCGLR hearing as they did not appear before the Tribunal, affording “…no proper chance to test that evidence”, adding that the “…council had the opportunity to call these witnesses at the Tribunal and chose not to do so” (para. 10)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CE0AC9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Expert witnesses</w:t>
      </w:r>
    </w:p>
    <w:p w14:paraId="724A094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cites with approval the extensive experience of witness</w:t>
      </w:r>
      <w:r w:rsidR="003627B1">
        <w:rPr>
          <w:rFonts w:ascii="Times New Roman" w:hAnsi="Times New Roman" w:cs="Times New Roman"/>
        </w:rPr>
        <w:t>es</w:t>
      </w:r>
      <w:r w:rsidRPr="00D63C18">
        <w:rPr>
          <w:rFonts w:ascii="Times New Roman" w:hAnsi="Times New Roman" w:cs="Times New Roman"/>
        </w:rPr>
        <w:t xml:space="preserve"> presented by the applicant, noting that </w:t>
      </w:r>
      <w:r w:rsidR="003627B1">
        <w:rPr>
          <w:rFonts w:ascii="Times New Roman" w:hAnsi="Times New Roman" w:cs="Times New Roman"/>
        </w:rPr>
        <w:t>they were</w:t>
      </w:r>
      <w:r w:rsidRPr="00D63C18">
        <w:rPr>
          <w:rFonts w:ascii="Times New Roman" w:hAnsi="Times New Roman" w:cs="Times New Roman"/>
        </w:rPr>
        <w:t xml:space="preserve"> “…highly experienced witnesses in their field, and we find the strong credibility of their expert evidence was not materially undermined by cross-examination” (para. 31)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D52BC4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did not accept an estimate presented by the council’s expert witness because he conceded that he held no expertise in the field of expenditure estimation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A0D3DA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argues that council compromised its case by not calling expert witnesses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9038F1B" w14:textId="77777777" w:rsidR="00D63C18" w:rsidRPr="00D63C18" w:rsidRDefault="00D63C18" w:rsidP="00D63C18">
      <w:pPr>
        <w:spacing w:line="312" w:lineRule="auto"/>
        <w:jc w:val="both"/>
        <w:rPr>
          <w:rFonts w:ascii="Times New Roman" w:hAnsi="Times New Roman" w:cs="Times New Roman"/>
        </w:rPr>
      </w:pPr>
    </w:p>
    <w:p w14:paraId="5895CB4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Locality of relevance – including socioeconomic conditions</w:t>
      </w:r>
    </w:p>
    <w:p w14:paraId="05A58100"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In reviewing decisions on either planning grounds or gambling considerations, the area local to the venue – rather than the entire municipality – is generally considered most relevant.</w:t>
      </w:r>
    </w:p>
    <w:p w14:paraId="395294A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Local areas, rather than whole municipalities may be of relevance</w:t>
      </w:r>
    </w:p>
    <w:p w14:paraId="301E62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Clause 52.28 of the Planning Scheme still requires consideration of the social and economic impacts of the proposal, there is a narrower spotlight shone on whether the social and economic impacts of the particular location would be acceptable” (para. .41)</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BF388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w:t>
      </w:r>
      <w:r w:rsidR="008664BB">
        <w:rPr>
          <w:rFonts w:ascii="Times New Roman" w:hAnsi="Times New Roman" w:cs="Times New Roman"/>
        </w:rPr>
        <w:t>“</w:t>
      </w:r>
      <w:r w:rsidRPr="00D63C18">
        <w:rPr>
          <w:rFonts w:ascii="Times New Roman" w:hAnsi="Times New Roman" w:cs="Times New Roman"/>
        </w:rPr>
        <w:t>no net detriment</w:t>
      </w:r>
      <w:r w:rsidR="008664BB">
        <w:rPr>
          <w:rFonts w:ascii="Times New Roman" w:hAnsi="Times New Roman" w:cs="Times New Roman"/>
        </w:rPr>
        <w:t>”</w:t>
      </w:r>
      <w:r w:rsidRPr="00D63C18">
        <w:rPr>
          <w:rFonts w:ascii="Times New Roman" w:hAnsi="Times New Roman" w:cs="Times New Roman"/>
        </w:rPr>
        <w:t xml:space="preserve"> test has as its </w:t>
      </w:r>
      <w:r w:rsidR="008664BB">
        <w:rPr>
          <w:rFonts w:ascii="Times New Roman" w:hAnsi="Times New Roman" w:cs="Times New Roman"/>
        </w:rPr>
        <w:t>“</w:t>
      </w:r>
      <w:r w:rsidRPr="00D63C18">
        <w:rPr>
          <w:rFonts w:ascii="Times New Roman" w:hAnsi="Times New Roman" w:cs="Times New Roman"/>
        </w:rPr>
        <w:t>starting point</w:t>
      </w:r>
      <w:r w:rsidR="008664BB">
        <w:rPr>
          <w:rFonts w:ascii="Times New Roman" w:hAnsi="Times New Roman" w:cs="Times New Roman"/>
        </w:rPr>
        <w:t>”</w:t>
      </w:r>
      <w:r w:rsidRPr="00D63C18">
        <w:rPr>
          <w:rFonts w:ascii="Times New Roman" w:hAnsi="Times New Roman" w:cs="Times New Roman"/>
        </w:rPr>
        <w:t xml:space="preserve"> the whole municipality, but “…there is case authority that it is appropriate to carry out a more focused analysis of the applicable area of the municipality…” (para. 20)</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AE8E95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requires consideration of the impact of an application upon the relevant community “it is appropriate in the gaming assessment to carry out a more focused analysis on the applicable area of the municipality, rather than literally benchmarking the proposal against the whole of the municipality (para. 40)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44C74F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While it is fitting to consider the effect of the application upon a municipality, it is “…appropriate to consider the impact on particularly relevant parts of the shire as well”</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142FF0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prescribes consideration of the well-being of the community in the municipality where premises are located, “logic and common sense” require consideration of the particular locality, with the result that the local community – rather than overall municipality – forms the main consideration in many cases before VCAT (para. 37)</w:t>
      </w:r>
      <w:r w:rsidR="00E43F9F">
        <w:rPr>
          <w:rFonts w:ascii="Times New Roman" w:hAnsi="Times New Roman" w:cs="Times New Roman"/>
          <w:i/>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p>
    <w:p w14:paraId="0E352CA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Yet elsewhere, the whole municipality forms the point of reference for assessing the impact of an application…</w:t>
      </w:r>
    </w:p>
    <w:p w14:paraId="28FFEB0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15534C">
        <w:rPr>
          <w:rFonts w:ascii="Times New Roman" w:hAnsi="Times New Roman" w:cs="Times New Roman"/>
          <w:i/>
          <w:sz w:val="18"/>
          <w:szCs w:val="18"/>
        </w:rPr>
        <w:t>(</w:t>
      </w:r>
      <w:r w:rsidRPr="0015534C">
        <w:rPr>
          <w:rFonts w:ascii="Times New Roman" w:hAnsi="Times New Roman" w:cs="Times New Roman"/>
          <w:sz w:val="18"/>
          <w:szCs w:val="18"/>
        </w:rPr>
        <w:t>L’Unico v Monash CC 2013</w:t>
      </w:r>
      <w:r w:rsidRPr="0015534C">
        <w:rPr>
          <w:rFonts w:ascii="Times New Roman" w:hAnsi="Times New Roman" w:cs="Times New Roman"/>
        </w:rPr>
        <w:t>)</w:t>
      </w:r>
      <w:r w:rsidR="0015534C" w:rsidRPr="0015534C">
        <w:rPr>
          <w:rFonts w:ascii="Times New Roman" w:hAnsi="Times New Roman" w:cs="Times New Roman"/>
        </w:rPr>
        <w:t>.</w:t>
      </w:r>
    </w:p>
    <w:p w14:paraId="7CE72607" w14:textId="77777777" w:rsidR="00D63C18" w:rsidRPr="00D63C18" w:rsidRDefault="00D63C18" w:rsidP="00D63C18">
      <w:pPr>
        <w:tabs>
          <w:tab w:val="left" w:pos="5505"/>
        </w:tabs>
        <w:spacing w:line="312" w:lineRule="auto"/>
        <w:jc w:val="both"/>
        <w:rPr>
          <w:rFonts w:ascii="Times New Roman" w:hAnsi="Times New Roman" w:cs="Times New Roman"/>
        </w:rPr>
      </w:pPr>
    </w:p>
    <w:p w14:paraId="4AAAE23D"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Conditions in venue catchment more relevant than those within a narrower, or wider, scope</w:t>
      </w:r>
    </w:p>
    <w:p w14:paraId="18B6163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When assessing the prospective social and economic impact of an application, VCAT may regard a reasonable approximation of the venue catchment as most relevant – rather than merely those residents in close proximity, or social conditions in the wider region where the venue is situated.</w:t>
      </w:r>
    </w:p>
    <w:p w14:paraId="1C7E8CC7"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that the area of disadvantage is about 1.5 km. </w:t>
      </w:r>
      <w:r w:rsidR="00843412">
        <w:rPr>
          <w:rFonts w:ascii="Times New Roman" w:hAnsi="Times New Roman" w:cs="Times New Roman"/>
        </w:rPr>
        <w:t>from</w:t>
      </w:r>
      <w:r w:rsidRPr="00D63C18">
        <w:rPr>
          <w:rFonts w:ascii="Times New Roman" w:hAnsi="Times New Roman" w:cs="Times New Roman"/>
        </w:rPr>
        <w:t xml:space="preserve"> the hotel, which accounts for just 8% of gaming room patrons (para. 50)</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(Molwin v Mornington Peninsula SC </w:t>
      </w:r>
      <w:r w:rsidR="0015534C">
        <w:rPr>
          <w:rFonts w:ascii="Times New Roman" w:hAnsi="Times New Roman" w:cs="Times New Roman"/>
          <w:i/>
          <w:sz w:val="18"/>
          <w:szCs w:val="18"/>
        </w:rPr>
        <w:t>2015).</w:t>
      </w:r>
    </w:p>
    <w:p w14:paraId="3DEB778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area </w:t>
      </w:r>
      <w:r w:rsidR="00BA76AC">
        <w:rPr>
          <w:rFonts w:ascii="Times New Roman" w:hAnsi="Times New Roman" w:cs="Times New Roman"/>
        </w:rPr>
        <w:t>in close proximity to</w:t>
      </w:r>
      <w:r w:rsidRPr="00D63C18">
        <w:rPr>
          <w:rFonts w:ascii="Times New Roman" w:hAnsi="Times New Roman" w:cs="Times New Roman"/>
        </w:rPr>
        <w:t xml:space="preserve"> the venue is not of critical importance, as Council policy calls for considerati</w:t>
      </w:r>
      <w:r w:rsidR="00BA76AC">
        <w:rPr>
          <w:rFonts w:ascii="Times New Roman" w:hAnsi="Times New Roman" w:cs="Times New Roman"/>
        </w:rPr>
        <w:t>on of an area 5 km. from venue,</w:t>
      </w:r>
      <w:r w:rsidRPr="00D63C18">
        <w:rPr>
          <w:rFonts w:ascii="Times New Roman" w:hAnsi="Times New Roman" w:cs="Times New Roman"/>
        </w:rPr>
        <w:t xml:space="preserve"> which is relatively </w:t>
      </w:r>
      <w:r w:rsidR="00BA76AC">
        <w:rPr>
          <w:rFonts w:ascii="Times New Roman" w:hAnsi="Times New Roman" w:cs="Times New Roman"/>
        </w:rPr>
        <w:t>affluent</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0D542EB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consider</w:t>
      </w:r>
      <w:r w:rsidR="00D41242">
        <w:rPr>
          <w:rFonts w:ascii="Times New Roman" w:hAnsi="Times New Roman" w:cs="Times New Roman"/>
        </w:rPr>
        <w:t>s</w:t>
      </w:r>
      <w:r w:rsidRPr="00D63C18">
        <w:rPr>
          <w:rFonts w:ascii="Times New Roman" w:hAnsi="Times New Roman" w:cs="Times New Roman"/>
        </w:rPr>
        <w:t xml:space="preserve"> an area of about 5 km around venue, rather than 2.5 km, finding less evidence of disadvantage in this larger region. (para. 136</w:t>
      </w:r>
      <w:r w:rsidRPr="0015534C">
        <w:rPr>
          <w:rFonts w:ascii="Times New Roman" w:hAnsi="Times New Roman" w:cs="Times New Roman"/>
          <w:sz w:val="18"/>
          <w:szCs w:val="18"/>
        </w:rPr>
        <w:t>)</w:t>
      </w:r>
      <w:r w:rsidR="00E43F9F" w:rsidRPr="0015534C">
        <w:rPr>
          <w:rFonts w:ascii="Times New Roman" w:hAnsi="Times New Roman" w:cs="Times New Roman"/>
          <w:i/>
          <w:sz w:val="18"/>
          <w:szCs w:val="18"/>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7191B5D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fact that the venue is situated in western Melbourne does not constitute risk in itself, since that region features areas of varying disadvantage</w:t>
      </w:r>
      <w:r w:rsidR="002458CC">
        <w:rPr>
          <w:rFonts w:ascii="Times New Roman" w:hAnsi="Times New Roman" w:cs="Times New Roman"/>
        </w:rPr>
        <w:t xml:space="preserve"> (para. 79) </w:t>
      </w:r>
      <w:r w:rsidRPr="00D63C18">
        <w:rPr>
          <w:rFonts w:ascii="Times New Roman" w:hAnsi="Times New Roman" w:cs="Times New Roman"/>
        </w:rPr>
        <w:t xml:space="preserve">[i.e.: the region is too large to permit conclusions to be drawn about the catchment of the venue] </w:t>
      </w:r>
      <w:r w:rsidRPr="0015534C">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7DF9E73F"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77295CAF"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BENEFITS &amp; LIABILITIES ATTRIBUTED TO APPLICATIONS</w:t>
      </w:r>
    </w:p>
    <w:p w14:paraId="08D5AF1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Proximity to shopping centres and sensitive locations</w:t>
      </w:r>
    </w:p>
    <w:p w14:paraId="08AA0502"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Applications relating to venues near shopping centres or sensitive land uses may not be favoured. Points of issue though, include their level of patronage, proximity to the venue, buffering by local infrastructure and the extent to which a nearby activity centre functions as a shopping centre.</w:t>
      </w:r>
    </w:p>
    <w:p w14:paraId="7D8ECB6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Shopping centres</w:t>
      </w:r>
    </w:p>
    <w:p w14:paraId="6A1F338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notes that venue is a few hundred met</w:t>
      </w:r>
      <w:r w:rsidR="00BA76AC">
        <w:rPr>
          <w:rFonts w:ascii="Times New Roman" w:hAnsi="Times New Roman" w:cs="Times New Roman"/>
        </w:rPr>
        <w:t>re</w:t>
      </w:r>
      <w:r w:rsidRPr="00D63C18">
        <w:rPr>
          <w:rFonts w:ascii="Times New Roman" w:hAnsi="Times New Roman" w:cs="Times New Roman"/>
        </w:rPr>
        <w:t>s from parts of a shopping precinct where people congregate for daily activities (para. 55)</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r w:rsidRPr="00D63C18">
        <w:rPr>
          <w:rFonts w:ascii="Times New Roman" w:hAnsi="Times New Roman" w:cs="Times New Roman"/>
          <w:i/>
          <w:sz w:val="18"/>
          <w:szCs w:val="18"/>
        </w:rPr>
        <w:t xml:space="preserve"> </w:t>
      </w:r>
    </w:p>
    <w:p w14:paraId="4A08593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favourable features of the proposed location of EGMs in this case are that the venue is removed from shopping and other convenience activities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3D52B1E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Nearby shopping consisted of buildings which were not currently</w:t>
      </w:r>
      <w:r w:rsidR="00BA76AC">
        <w:rPr>
          <w:rFonts w:ascii="Times New Roman" w:hAnsi="Times New Roman" w:cs="Times New Roman"/>
        </w:rPr>
        <w:t xml:space="preserve"> being</w:t>
      </w:r>
      <w:r w:rsidRPr="00D63C18">
        <w:rPr>
          <w:rFonts w:ascii="Times New Roman" w:hAnsi="Times New Roman" w:cs="Times New Roman"/>
        </w:rPr>
        <w:t xml:space="preserve"> used</w:t>
      </w:r>
      <w:r w:rsidR="00BA76AC">
        <w:rPr>
          <w:rFonts w:ascii="Times New Roman" w:hAnsi="Times New Roman" w:cs="Times New Roman"/>
        </w:rPr>
        <w:t>,</w:t>
      </w:r>
      <w:r w:rsidRPr="00D63C18">
        <w:rPr>
          <w:rFonts w:ascii="Times New Roman" w:hAnsi="Times New Roman" w:cs="Times New Roman"/>
        </w:rPr>
        <w:t xml:space="preserve"> </w:t>
      </w:r>
      <w:r w:rsidR="00BA76AC">
        <w:rPr>
          <w:rFonts w:ascii="Times New Roman" w:hAnsi="Times New Roman" w:cs="Times New Roman"/>
        </w:rPr>
        <w:t>or</w:t>
      </w:r>
      <w:r w:rsidRPr="00D63C18">
        <w:rPr>
          <w:rFonts w:ascii="Times New Roman" w:hAnsi="Times New Roman" w:cs="Times New Roman"/>
        </w:rPr>
        <w:t xml:space="preserve"> constructed for use</w:t>
      </w:r>
      <w:r w:rsidR="00BA76AC">
        <w:rPr>
          <w:rFonts w:ascii="Times New Roman" w:hAnsi="Times New Roman" w:cs="Times New Roman"/>
        </w:rPr>
        <w:t>,</w:t>
      </w:r>
      <w:r w:rsidRPr="00D63C18">
        <w:rPr>
          <w:rFonts w:ascii="Times New Roman" w:hAnsi="Times New Roman" w:cs="Times New Roman"/>
        </w:rPr>
        <w:t xml:space="preserve"> as shops. The Tribunal therefore concluded that it was not, and was unlikely to ever be, a shopping centre and was therefore not inappropriate for a gaming venue.</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rPr>
        <w:t xml:space="preserve"> </w:t>
      </w:r>
    </w:p>
    <w:p w14:paraId="287EA8A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shopping area does not make it very accessible, since the shopping area is small, has few convenience shops and features a low pedestrian volume (para. 79) </w:t>
      </w:r>
      <w:r w:rsidRPr="00D63C18">
        <w:rPr>
          <w:rFonts w:ascii="Times New Roman" w:hAnsi="Times New Roman" w:cs="Times New Roman"/>
          <w:i/>
        </w:rPr>
        <w:t>(</w:t>
      </w:r>
      <w:r w:rsidRPr="00D63C18">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1E18028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Sensitive land uses</w:t>
      </w:r>
    </w:p>
    <w:p w14:paraId="1A26C1C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tension in some cases “between the potential social and economic negative impacts of the proposed EGMs and the close proximity of a vulnerable family or community”. It cites the example of </w:t>
      </w:r>
      <w:r w:rsidR="000C56E8">
        <w:rPr>
          <w:rFonts w:ascii="Times New Roman" w:hAnsi="Times New Roman" w:cs="Times New Roman"/>
        </w:rPr>
        <w:t xml:space="preserve">such </w:t>
      </w:r>
      <w:r w:rsidRPr="00D63C18">
        <w:rPr>
          <w:rFonts w:ascii="Times New Roman" w:hAnsi="Times New Roman" w:cs="Times New Roman"/>
        </w:rPr>
        <w:t xml:space="preserve">tension in another case, where the venue was located opposite a significant social housing facility (para. 27) [Indicating that social housing is an issue relating to vulnerability to problem gambling]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5BE5A27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with favour that the venue is not near social housing</w:t>
      </w:r>
      <w:r w:rsidR="00A9677F">
        <w:rPr>
          <w:rFonts w:ascii="Times New Roman" w:hAnsi="Times New Roman" w:cs="Times New Roman"/>
        </w:rPr>
        <w:t xml:space="preserve"> (para. 52)</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1397D7D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home for vulnerable older people is </w:t>
      </w:r>
      <w:r w:rsidR="000C56E8">
        <w:rPr>
          <w:rFonts w:ascii="Times New Roman" w:hAnsi="Times New Roman" w:cs="Times New Roman"/>
        </w:rPr>
        <w:t>held</w:t>
      </w:r>
      <w:r w:rsidRPr="00D63C18">
        <w:rPr>
          <w:rFonts w:ascii="Times New Roman" w:hAnsi="Times New Roman" w:cs="Times New Roman"/>
        </w:rPr>
        <w:t xml:space="preserve"> against the proposal (para. 74), though the Tribunal states that this must be balanced against the interests of thousands of visitors to the city who may gain a social benefit from the proposal (para. 95)</w:t>
      </w:r>
      <w:r w:rsidRPr="00D63C18">
        <w:rPr>
          <w:rFonts w:ascii="Times New Roman" w:hAnsi="Times New Roman" w:cs="Times New Roman"/>
          <w:i/>
        </w:rPr>
        <w:t xml:space="preserve"> </w:t>
      </w:r>
      <w:r w:rsidRPr="00D63C18">
        <w:rPr>
          <w:rFonts w:ascii="Times New Roman" w:hAnsi="Times New Roman" w:cs="Times New Roman"/>
          <w:i/>
          <w:sz w:val="18"/>
          <w:szCs w:val="18"/>
        </w:rPr>
        <w:t>(Kingfish Victoria v Melbourne CC 2013)</w:t>
      </w:r>
    </w:p>
    <w:p w14:paraId="4340876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Distance and Buffering by other infrastructure may reduce impact on local sensitive land uses</w:t>
      </w:r>
    </w:p>
    <w:p w14:paraId="1D96957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Several welfare agencies were located within 800 m. of the venue - a condition discouraged by </w:t>
      </w:r>
      <w:r w:rsidR="000C56E8">
        <w:rPr>
          <w:rFonts w:ascii="Times New Roman" w:hAnsi="Times New Roman" w:cs="Times New Roman"/>
        </w:rPr>
        <w:t>c</w:t>
      </w:r>
      <w:r w:rsidRPr="00D63C18">
        <w:rPr>
          <w:rFonts w:ascii="Times New Roman" w:hAnsi="Times New Roman" w:cs="Times New Roman"/>
        </w:rPr>
        <w:t xml:space="preserve">ouncil planning policy. But the Tribunal discounts the significance of this because 800 m. was </w:t>
      </w:r>
      <w:r w:rsidR="000C56E8">
        <w:rPr>
          <w:rFonts w:ascii="Times New Roman" w:hAnsi="Times New Roman" w:cs="Times New Roman"/>
        </w:rPr>
        <w:t xml:space="preserve">considered </w:t>
      </w:r>
      <w:r w:rsidRPr="00D63C18">
        <w:rPr>
          <w:rFonts w:ascii="Times New Roman" w:hAnsi="Times New Roman" w:cs="Times New Roman"/>
        </w:rPr>
        <w:t xml:space="preserve">an unreasonable distance, there was no evidence of gaming at the venue by clients of these services, and only one of these agencies opposed that application – and not on these grounds </w:t>
      </w:r>
      <w:r w:rsidR="000C56E8">
        <w:rPr>
          <w:rFonts w:ascii="Times New Roman" w:hAnsi="Times New Roman" w:cs="Times New Roman"/>
        </w:rPr>
        <w:t xml:space="preserve">in any case </w:t>
      </w:r>
      <w:r w:rsidRPr="00D63C18">
        <w:rPr>
          <w:rFonts w:ascii="Times New Roman" w:hAnsi="Times New Roman" w:cs="Times New Roman"/>
        </w:rPr>
        <w:t>(para. 66)</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34F1C2E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observes that the venue is buffered from nearby active uses by a car park, roads etc. (para. 26)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39CF5111" w14:textId="77777777" w:rsidR="00D63C18" w:rsidRPr="00D63C18" w:rsidRDefault="00D63C18" w:rsidP="00D63C18">
      <w:pPr>
        <w:spacing w:line="312" w:lineRule="auto"/>
        <w:jc w:val="both"/>
        <w:rPr>
          <w:rFonts w:ascii="Times New Roman" w:hAnsi="Times New Roman" w:cs="Times New Roman"/>
          <w:sz w:val="10"/>
          <w:szCs w:val="10"/>
        </w:rPr>
      </w:pPr>
    </w:p>
    <w:p w14:paraId="6165CCA5"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Convenience and destination venues</w:t>
      </w:r>
    </w:p>
    <w:p w14:paraId="1968BD1F"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recognises that gaming venues are distributed across a broad spectrum, from destination to convenience, depending upon proximity to activity centres and transport routes.</w:t>
      </w:r>
    </w:p>
    <w:p w14:paraId="622C064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Venues fall in a spectrum, ranging from destination to convenience venues</w:t>
      </w:r>
      <w:r w:rsidRPr="00D63C18">
        <w:rPr>
          <w:rFonts w:ascii="Times New Roman" w:hAnsi="Times New Roman" w:cs="Times New Roman"/>
          <w:i/>
          <w:sz w:val="18"/>
          <w:szCs w:val="18"/>
        </w:rPr>
        <w:t xml:space="preserve"> (Glenroy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4DFAD97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Convenience venues are higher risk (para. 48)</w:t>
      </w:r>
      <w:r w:rsidRPr="00D63C18">
        <w:rPr>
          <w:rFonts w:ascii="Times New Roman" w:hAnsi="Times New Roman" w:cs="Times New Roman"/>
          <w:i/>
        </w:rPr>
        <w:t xml:space="preserve"> </w:t>
      </w:r>
      <w:r w:rsidRPr="00D63C18">
        <w:rPr>
          <w:rFonts w:ascii="Times New Roman" w:hAnsi="Times New Roman" w:cs="Times New Roman"/>
          <w:i/>
          <w:sz w:val="18"/>
          <w:szCs w:val="18"/>
        </w:rPr>
        <w:t>(L’Unico v Monash CC 2013)</w:t>
      </w:r>
      <w:r w:rsidR="0015534C">
        <w:rPr>
          <w:rFonts w:ascii="Times New Roman" w:hAnsi="Times New Roman" w:cs="Times New Roman"/>
          <w:i/>
          <w:sz w:val="18"/>
          <w:szCs w:val="18"/>
        </w:rPr>
        <w:t>.</w:t>
      </w:r>
    </w:p>
    <w:p w14:paraId="2B74AE9A" w14:textId="77777777" w:rsidR="00D63C18" w:rsidRPr="00D41242"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favour</w:t>
      </w:r>
      <w:r w:rsidR="00D41242">
        <w:rPr>
          <w:rFonts w:ascii="Times New Roman" w:hAnsi="Times New Roman" w:cs="Times New Roman"/>
        </w:rPr>
        <w:t>s the fact that the venue seems</w:t>
      </w:r>
      <w:r w:rsidRPr="00D63C18">
        <w:rPr>
          <w:rFonts w:ascii="Times New Roman" w:hAnsi="Times New Roman" w:cs="Times New Roman"/>
        </w:rPr>
        <w:t xml:space="preserve"> more of a destination venue</w:t>
      </w:r>
      <w:r w:rsidR="00A9677F">
        <w:rPr>
          <w:rFonts w:ascii="Times New Roman" w:hAnsi="Times New Roman" w:cs="Times New Roman"/>
        </w:rPr>
        <w:t xml:space="preserve"> (para. 39)</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(Baretta’s Langwarrin Pty Ltd v Frankston CC </w:t>
      </w:r>
      <w:r w:rsidR="0015534C">
        <w:rPr>
          <w:rFonts w:ascii="Times New Roman" w:hAnsi="Times New Roman" w:cs="Times New Roman"/>
          <w:i/>
          <w:sz w:val="18"/>
          <w:szCs w:val="18"/>
        </w:rPr>
        <w:t>2016).</w:t>
      </w:r>
    </w:p>
    <w:p w14:paraId="365B08A9"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venue is largely a destination venue, as it is situated well outside the core of the activity centre and set back from the main road</w:t>
      </w:r>
      <w:r w:rsidRPr="00D63C18">
        <w:rPr>
          <w:rFonts w:ascii="Times New Roman" w:hAnsi="Times New Roman" w:cs="Times New Roman"/>
          <w:sz w:val="18"/>
          <w:szCs w:val="18"/>
        </w:rPr>
        <w:t xml:space="preserve">. (Glenroy RSL v Moreland CC </w:t>
      </w:r>
      <w:r w:rsidR="0015534C">
        <w:rPr>
          <w:rFonts w:ascii="Times New Roman" w:hAnsi="Times New Roman" w:cs="Times New Roman"/>
          <w:sz w:val="18"/>
          <w:szCs w:val="18"/>
        </w:rPr>
        <w:t>2017).</w:t>
      </w:r>
    </w:p>
    <w:p w14:paraId="5D68168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Refurbishments</w:t>
      </w:r>
    </w:p>
    <w:p w14:paraId="7D344E4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Refurbishments are commended by VCAT as a social and economic benefit to the community, though the magnitude of this benefit depends upon their prospective impact relative to the volume of comparable services already available in the community.</w:t>
      </w:r>
    </w:p>
    <w:p w14:paraId="5AAB8D2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General Favour</w:t>
      </w:r>
    </w:p>
    <w:p w14:paraId="0251D95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remarks that improvements in facilities for recreational gamblers, and in entertainment and accommodation for patrons, is a benefit, adding that the proposed refurbishments</w:t>
      </w:r>
      <w:r w:rsidRPr="00D63C18">
        <w:rPr>
          <w:rFonts w:ascii="Times New Roman" w:hAnsi="Times New Roman" w:cs="Times New Roman"/>
          <w:i/>
        </w:rPr>
        <w:t xml:space="preserve"> </w:t>
      </w:r>
      <w:r w:rsidRPr="00D63C18">
        <w:rPr>
          <w:rFonts w:ascii="Times New Roman" w:hAnsi="Times New Roman" w:cs="Times New Roman"/>
        </w:rPr>
        <w:t>would improve the amenity of the venue and strengthen the application</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190CD5B3"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favours the proposed renovation of the premises </w:t>
      </w:r>
      <w:r w:rsidR="00A9677F">
        <w:rPr>
          <w:rFonts w:ascii="Times New Roman" w:hAnsi="Times New Roman" w:cs="Times New Roman"/>
        </w:rPr>
        <w:t xml:space="preserve">(para. 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1C6EF2B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Economic Benefit</w:t>
      </w:r>
    </w:p>
    <w:p w14:paraId="67635523"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A beneficial feature of application is that additional EGMs will fund refurbishment of a local business “…on a landmark site</w:t>
      </w:r>
      <w:r w:rsidR="0021737F" w:rsidRPr="00D63C18">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68C6120E"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Positive features of the application include refurbishment </w:t>
      </w:r>
      <w:r w:rsidR="000C56E8">
        <w:rPr>
          <w:rFonts w:ascii="Times New Roman" w:hAnsi="Times New Roman" w:cs="Times New Roman"/>
        </w:rPr>
        <w:t>as</w:t>
      </w:r>
      <w:r w:rsidRPr="00D63C18">
        <w:rPr>
          <w:rFonts w:ascii="Times New Roman" w:hAnsi="Times New Roman" w:cs="Times New Roman"/>
        </w:rPr>
        <w:t xml:space="preserve"> a benefit that will stimulate the local economy – especially important in an area of disadvantage such as Braybrook (para. 48)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1AF83F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 to Problem Gamblers</w:t>
      </w:r>
    </w:p>
    <w:p w14:paraId="1566959E" w14:textId="77777777" w:rsidR="00D63C18" w:rsidRPr="00D63C18" w:rsidRDefault="000C56E8" w:rsidP="00D41242">
      <w:pPr>
        <w:spacing w:after="60" w:line="312" w:lineRule="auto"/>
        <w:jc w:val="both"/>
        <w:rPr>
          <w:rFonts w:ascii="Times New Roman" w:hAnsi="Times New Roman" w:cs="Times New Roman"/>
        </w:rPr>
      </w:pPr>
      <w:r>
        <w:rPr>
          <w:rFonts w:ascii="Times New Roman" w:hAnsi="Times New Roman" w:cs="Times New Roman"/>
        </w:rPr>
        <w:t>Attributes</w:t>
      </w:r>
      <w:r w:rsidR="00D63C18" w:rsidRPr="00D63C18">
        <w:rPr>
          <w:rFonts w:ascii="Times New Roman" w:hAnsi="Times New Roman" w:cs="Times New Roman"/>
        </w:rPr>
        <w:t xml:space="preserve"> of the application include refurbishments which will </w:t>
      </w:r>
      <w:r>
        <w:rPr>
          <w:rFonts w:ascii="Times New Roman" w:hAnsi="Times New Roman" w:cs="Times New Roman"/>
        </w:rPr>
        <w:t>“</w:t>
      </w:r>
      <w:r w:rsidR="00D63C18" w:rsidRPr="00D63C18">
        <w:rPr>
          <w:rFonts w:ascii="Times New Roman" w:hAnsi="Times New Roman" w:cs="Times New Roman"/>
        </w:rPr>
        <w:t>dilute the emphasis upon gaming</w:t>
      </w:r>
      <w:r>
        <w:rPr>
          <w:rFonts w:ascii="Times New Roman" w:hAnsi="Times New Roman" w:cs="Times New Roman"/>
        </w:rPr>
        <w:t>”</w:t>
      </w:r>
      <w:r w:rsidR="00D63C18" w:rsidRPr="00D63C18">
        <w:rPr>
          <w:rFonts w:ascii="Times New Roman" w:hAnsi="Times New Roman" w:cs="Times New Roman"/>
        </w:rPr>
        <w:t xml:space="preserve"> at the venue (para. 106) and improve facilities, which will be appealing to non-problem gamblers and provide an opportunity for a break from gambling (para. 88). The </w:t>
      </w:r>
      <w:r w:rsidR="00D63C18" w:rsidRPr="00D63C18">
        <w:rPr>
          <w:rFonts w:ascii="Times New Roman" w:hAnsi="Times New Roman" w:cs="Times New Roman"/>
          <w:color w:val="000000" w:themeColor="text1"/>
        </w:rPr>
        <w:t>Tribunal dismisse</w:t>
      </w:r>
      <w:r w:rsidR="00D41242">
        <w:rPr>
          <w:rFonts w:ascii="Times New Roman" w:hAnsi="Times New Roman" w:cs="Times New Roman"/>
          <w:color w:val="000000" w:themeColor="text1"/>
        </w:rPr>
        <w:t>s</w:t>
      </w:r>
      <w:r w:rsidR="00D63C18" w:rsidRPr="00D63C18">
        <w:rPr>
          <w:rFonts w:ascii="Times New Roman" w:hAnsi="Times New Roman" w:cs="Times New Roman"/>
        </w:rPr>
        <w:t xml:space="preserve"> the council’s assertion that refurbishment would make the venue more attractive to problem gamblers (para. 82)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B867DAE"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Scale of Refurbishments Relative to Existing, Local Services</w:t>
      </w:r>
    </w:p>
    <w:p w14:paraId="1190474B"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Expenditure on refurbishment is of less impact in an area where there are already many major projects [central Melbourne, in this instance]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Pr="00D63C18">
        <w:rPr>
          <w:rFonts w:ascii="Times New Roman" w:hAnsi="Times New Roman" w:cs="Times New Roman"/>
          <w:i/>
        </w:rPr>
        <w:t>.</w:t>
      </w:r>
    </w:p>
    <w:p w14:paraId="670BBBD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accord</w:t>
      </w:r>
      <w:r w:rsidR="00D41242">
        <w:rPr>
          <w:rFonts w:ascii="Times New Roman" w:hAnsi="Times New Roman" w:cs="Times New Roman"/>
        </w:rPr>
        <w:t>s</w:t>
      </w:r>
      <w:r w:rsidR="000C56E8">
        <w:rPr>
          <w:rFonts w:ascii="Times New Roman" w:hAnsi="Times New Roman" w:cs="Times New Roman"/>
        </w:rPr>
        <w:t xml:space="preserve"> them</w:t>
      </w:r>
      <w:r w:rsidRPr="00D63C18">
        <w:rPr>
          <w:rFonts w:ascii="Times New Roman" w:hAnsi="Times New Roman" w:cs="Times New Roman"/>
        </w:rPr>
        <w:t xml:space="preserve"> marginal weight (para. 127</w:t>
      </w:r>
      <w:r w:rsidRPr="00D63C18">
        <w:rPr>
          <w:rFonts w:ascii="Times New Roman" w:hAnsi="Times New Roman" w:cs="Times New Roman"/>
          <w:sz w:val="18"/>
          <w:szCs w:val="18"/>
        </w:rPr>
        <w:t>)</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483339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Other Issues</w:t>
      </w:r>
    </w:p>
    <w:p w14:paraId="703659E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disagrees with the Commission’s conclusion that refurbishment would only benefit hotel patrons, maintaining instead that </w:t>
      </w:r>
      <w:r w:rsidR="000C56E8">
        <w:rPr>
          <w:rFonts w:ascii="Times New Roman" w:hAnsi="Times New Roman" w:cs="Times New Roman"/>
        </w:rPr>
        <w:t>“</w:t>
      </w:r>
      <w:r w:rsidRPr="00D63C18">
        <w:rPr>
          <w:rFonts w:ascii="Times New Roman" w:hAnsi="Times New Roman" w:cs="Times New Roman"/>
        </w:rPr>
        <w:t>any Braybrook residents can enter the hotel or use its premises</w:t>
      </w:r>
      <w:r w:rsidR="000C56E8">
        <w:rPr>
          <w:rFonts w:ascii="Times New Roman" w:hAnsi="Times New Roman" w:cs="Times New Roman"/>
        </w:rPr>
        <w:t>”</w:t>
      </w:r>
      <w:r w:rsidRPr="00D63C18">
        <w:rPr>
          <w:rFonts w:ascii="Times New Roman" w:hAnsi="Times New Roman" w:cs="Times New Roman"/>
        </w:rPr>
        <w:t xml:space="preserve"> (para. 108)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0240E9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251AE9F"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refurbishment of the hotel will benefit only the town of Seaspray where it is situated, and not Sale. Accordingly, the membership of the club itself – who will benefit – is actually quite small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02A4E0E8" w14:textId="77777777" w:rsidR="00D63C18" w:rsidRPr="00D63C18" w:rsidRDefault="00D63C18" w:rsidP="00D63C18">
      <w:pPr>
        <w:spacing w:after="60" w:line="312" w:lineRule="auto"/>
        <w:jc w:val="both"/>
        <w:rPr>
          <w:rFonts w:ascii="Times New Roman" w:hAnsi="Times New Roman" w:cs="Times New Roman"/>
          <w:sz w:val="18"/>
          <w:szCs w:val="18"/>
        </w:rPr>
      </w:pPr>
    </w:p>
    <w:p w14:paraId="0A54E147" w14:textId="77777777" w:rsidR="00D63C18" w:rsidRPr="00D63C18" w:rsidRDefault="00D63C18" w:rsidP="00D63C18">
      <w:pPr>
        <w:spacing w:after="60" w:line="312" w:lineRule="auto"/>
        <w:jc w:val="both"/>
        <w:rPr>
          <w:rFonts w:ascii="Times New Roman" w:hAnsi="Times New Roman" w:cs="Times New Roman"/>
          <w:sz w:val="18"/>
          <w:szCs w:val="18"/>
        </w:rPr>
      </w:pPr>
    </w:p>
    <w:p w14:paraId="75530EB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Other venue characteristics</w:t>
      </w:r>
    </w:p>
    <w:p w14:paraId="0E68CD4E"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Other characteristics of applications or venues which are favoured, include:</w:t>
      </w:r>
    </w:p>
    <w:p w14:paraId="6598E880"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Reduced opening hours</w:t>
      </w:r>
    </w:p>
    <w:p w14:paraId="361C550F"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Anonymity</w:t>
      </w:r>
    </w:p>
    <w:p w14:paraId="77F80320" w14:textId="77777777" w:rsid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 xml:space="preserve">Staff training and </w:t>
      </w:r>
      <w:r w:rsidR="00BA76AC">
        <w:rPr>
          <w:rFonts w:ascii="Times New Roman" w:hAnsi="Times New Roman"/>
          <w:color w:val="008000"/>
        </w:rPr>
        <w:t>intervention</w:t>
      </w:r>
    </w:p>
    <w:p w14:paraId="009CEB4C" w14:textId="77777777" w:rsidR="00BA76AC"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Screening of the gaming room/obscuring the gaming area</w:t>
      </w:r>
    </w:p>
    <w:p w14:paraId="1EFB8213"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w:t>
      </w:r>
      <w:r w:rsidR="00D63C18" w:rsidRPr="00D63C18">
        <w:rPr>
          <w:rFonts w:ascii="Times New Roman" w:hAnsi="Times New Roman"/>
          <w:color w:val="008000"/>
        </w:rPr>
        <w:t xml:space="preserve">taff surveillance of </w:t>
      </w:r>
      <w:r>
        <w:rPr>
          <w:rFonts w:ascii="Times New Roman" w:hAnsi="Times New Roman"/>
          <w:color w:val="008000"/>
        </w:rPr>
        <w:t xml:space="preserve">the </w:t>
      </w:r>
      <w:r w:rsidR="00D63C18" w:rsidRPr="00D63C18">
        <w:rPr>
          <w:rFonts w:ascii="Times New Roman" w:hAnsi="Times New Roman"/>
          <w:color w:val="008000"/>
        </w:rPr>
        <w:t>gaming room</w:t>
      </w:r>
    </w:p>
    <w:p w14:paraId="31B9E6F9"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Well-presented venues</w:t>
      </w:r>
    </w:p>
    <w:p w14:paraId="43DEBC28"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N</w:t>
      </w:r>
      <w:r w:rsidR="00D63C18" w:rsidRPr="00D63C18">
        <w:rPr>
          <w:rFonts w:ascii="Times New Roman" w:hAnsi="Times New Roman"/>
          <w:color w:val="008000"/>
        </w:rPr>
        <w:t>on-gaming activities at the venue</w:t>
      </w:r>
    </w:p>
    <w:p w14:paraId="52E516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Reduced opening hours</w:t>
      </w:r>
    </w:p>
    <w:p w14:paraId="39A1A9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Benefits of the application include reduced hours of operating in the early morning</w:t>
      </w:r>
      <w:r w:rsidR="000C56E8">
        <w:rPr>
          <w:rFonts w:ascii="Times New Roman" w:hAnsi="Times New Roman" w:cs="Times New Roman"/>
        </w:rPr>
        <w:t>,</w:t>
      </w:r>
      <w:r w:rsidRPr="00D63C18">
        <w:rPr>
          <w:rFonts w:ascii="Times New Roman" w:hAnsi="Times New Roman" w:cs="Times New Roman"/>
        </w:rPr>
        <w:t xml:space="preserve"> which is a time when a higher proportion of patrons may be at risk of problem gambling (para. 91)</w:t>
      </w:r>
    </w:p>
    <w:p w14:paraId="09FEE79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proposed reduction in trading hours (para. 37)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307774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agreement to a condition that it closes a 1 pm, will mitigate problem gambling and so is a benefit, as it means that the applicant cannot rescind this decision (para. 75)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78B0F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has fewer opening hours than those nearby – which is a positive aspect of the proposal (para. 142)</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12903F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Anonymity</w:t>
      </w:r>
    </w:p>
    <w:p w14:paraId="2D88E7B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Hotels “…are typically seen as higher risk than clubs, because no sign-in is needed and people can attend anonymously.” (para. 48)</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782EA6B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Staff interactions with patrons give less anonymity – a benefit (para. 72)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BF3DC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Attributes of the application include gamblers being less anonymous in a venue with more non-gamblers (para. 88)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3B2FB00"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 virtue of the application includes the construction of a new entry requiring gaming patrons to enter the venue with others [presumably making it obvious that they are gaming if they enter the gaming room] (para. 92)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540FC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Staff training and intervention</w:t>
      </w:r>
    </w:p>
    <w:p w14:paraId="57EF45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Responsible gaming practises of venue will </w:t>
      </w:r>
      <w:r w:rsidR="000C56E8">
        <w:rPr>
          <w:rFonts w:ascii="Times New Roman" w:hAnsi="Times New Roman" w:cs="Times New Roman"/>
        </w:rPr>
        <w:t>alleviate</w:t>
      </w:r>
      <w:r w:rsidRPr="00D63C18">
        <w:rPr>
          <w:rFonts w:ascii="Times New Roman" w:hAnsi="Times New Roman" w:cs="Times New Roman"/>
        </w:rPr>
        <w:t xml:space="preserve"> gambling problems arising from the proposal (para. 90)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153B098"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favours the</w:t>
      </w:r>
      <w:r w:rsidR="00D63C18" w:rsidRPr="00D63C18">
        <w:rPr>
          <w:rFonts w:ascii="Times New Roman" w:hAnsi="Times New Roman" w:cs="Times New Roman"/>
        </w:rPr>
        <w:t xml:space="preserve"> proposal because </w:t>
      </w:r>
      <w:r w:rsidR="000C56E8">
        <w:rPr>
          <w:rFonts w:ascii="Times New Roman" w:hAnsi="Times New Roman" w:cs="Times New Roman"/>
        </w:rPr>
        <w:t xml:space="preserve">of </w:t>
      </w:r>
      <w:r w:rsidR="00D63C18" w:rsidRPr="00D63C18">
        <w:rPr>
          <w:rFonts w:ascii="Times New Roman" w:hAnsi="Times New Roman" w:cs="Times New Roman"/>
        </w:rPr>
        <w:t>improved responsible gambling procedur</w:t>
      </w:r>
      <w:r w:rsidR="000C56E8">
        <w:rPr>
          <w:rFonts w:ascii="Times New Roman" w:hAnsi="Times New Roman" w:cs="Times New Roman"/>
        </w:rPr>
        <w:t>es and increased staff training</w:t>
      </w:r>
      <w:r w:rsidR="00D63C18" w:rsidRPr="00D63C18">
        <w:rPr>
          <w:rFonts w:ascii="Times New Roman" w:hAnsi="Times New Roman" w:cs="Times New Roman"/>
        </w:rPr>
        <w:t xml:space="preserve"> </w:t>
      </w:r>
      <w:r w:rsidR="00D63C18"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AA6287"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approvingly that venue had commenced staff training with Gambler’s Help</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92AE6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management has contacted Gambler</w:t>
      </w:r>
      <w:r w:rsidR="000C56E8">
        <w:rPr>
          <w:rFonts w:ascii="Times New Roman" w:hAnsi="Times New Roman" w:cs="Times New Roman"/>
        </w:rPr>
        <w:t>’</w:t>
      </w:r>
      <w:r w:rsidRPr="00D63C18">
        <w:rPr>
          <w:rFonts w:ascii="Times New Roman" w:hAnsi="Times New Roman" w:cs="Times New Roman"/>
        </w:rPr>
        <w:t xml:space="preserve">s Help to obtain advice and arrange training, as suggested by the VCGLR (para. 70) thereby achieving </w:t>
      </w:r>
      <w:r w:rsidR="000C56E8">
        <w:rPr>
          <w:rFonts w:ascii="Times New Roman" w:hAnsi="Times New Roman" w:cs="Times New Roman"/>
        </w:rPr>
        <w:t>“</w:t>
      </w:r>
      <w:r w:rsidRPr="00D63C18">
        <w:rPr>
          <w:rFonts w:ascii="Times New Roman" w:hAnsi="Times New Roman" w:cs="Times New Roman"/>
        </w:rPr>
        <w:t>good compliance and knowledge among staff</w:t>
      </w:r>
      <w:r w:rsidR="000C56E8">
        <w:rPr>
          <w:rFonts w:ascii="Times New Roman" w:hAnsi="Times New Roman" w:cs="Times New Roman"/>
        </w:rPr>
        <w:t>”</w:t>
      </w:r>
      <w:r w:rsidRPr="00D63C18">
        <w:rPr>
          <w:rFonts w:ascii="Times New Roman" w:hAnsi="Times New Roman" w:cs="Times New Roman"/>
        </w:rPr>
        <w:t xml:space="preserve"> (para. 71)</w:t>
      </w:r>
    </w:p>
    <w:p w14:paraId="2F3AA68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prospect of problem gambling arising from addition of EGMs would be reduced by responsible gambling practises of venue, well-trained staff and </w:t>
      </w:r>
      <w:r w:rsidR="000C56E8">
        <w:rPr>
          <w:rFonts w:ascii="Times New Roman" w:hAnsi="Times New Roman" w:cs="Times New Roman"/>
        </w:rPr>
        <w:t>favourable</w:t>
      </w:r>
      <w:r w:rsidRPr="00D63C18">
        <w:rPr>
          <w:rFonts w:ascii="Times New Roman" w:hAnsi="Times New Roman" w:cs="Times New Roman"/>
        </w:rPr>
        <w:t xml:space="preserve"> track record of venue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78143AF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Interaction between trained staff and gaming patrons is a protective factor (para. 98)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B2754C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comments that the prospect of increased problem gambling is reduced by responsible gambling practises of the applicant (74)</w:t>
      </w:r>
    </w:p>
    <w:p w14:paraId="6EECF724"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But…</w:t>
      </w:r>
    </w:p>
    <w:p w14:paraId="13D20289"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accepts that the venue’s responsible gaming practises are sincere but references with approval a decision by Dwyer on Castlemaine as “ authority for the proposition that the appropriate application of ‘responsible gambling management practises’ only goes so far, given the inherent difficulties of identifying and characterising what constitutes a problem gambler” (para. 55)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7AB80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relation to responsible gambling practices, “…the most effective measures involve direct contact…between gamblers and the staff…In practice this is difficult to achieve.” And “…if a gambler is losing money they cannot afford to, but does not engage with staff, there is little you can do.” (para. 134)</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230968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“We are unsatisfied that there is any reliable evidence that this risk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0C9071"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Adherence to responsible gambling measures is </w:t>
      </w:r>
      <w:r w:rsidR="000C56E8">
        <w:rPr>
          <w:rFonts w:ascii="Times New Roman" w:hAnsi="Times New Roman" w:cs="Times New Roman"/>
        </w:rPr>
        <w:t>“</w:t>
      </w:r>
      <w:r w:rsidRPr="00D63C18">
        <w:rPr>
          <w:rFonts w:ascii="Times New Roman" w:hAnsi="Times New Roman" w:cs="Times New Roman"/>
        </w:rPr>
        <w:t>a given</w:t>
      </w:r>
      <w:r w:rsidR="000C56E8">
        <w:rPr>
          <w:rFonts w:ascii="Times New Roman" w:hAnsi="Times New Roman" w:cs="Times New Roman"/>
        </w:rPr>
        <w:t>”</w:t>
      </w:r>
      <w:r w:rsidRPr="00D63C18">
        <w:rPr>
          <w:rFonts w:ascii="Times New Roman" w:hAnsi="Times New Roman" w:cs="Times New Roman"/>
        </w:rPr>
        <w:t xml:space="preserve"> and is not counted as a benefit of this application (para. 87).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60E042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Screening of</w:t>
      </w:r>
      <w:r w:rsidR="00BA76AC">
        <w:rPr>
          <w:rFonts w:ascii="Times New Roman" w:hAnsi="Times New Roman" w:cs="Times New Roman"/>
          <w:i/>
          <w:color w:val="17365D" w:themeColor="text2" w:themeShade="BF"/>
        </w:rPr>
        <w:t xml:space="preserve"> the</w:t>
      </w:r>
      <w:r w:rsidRPr="00603DF8">
        <w:rPr>
          <w:rFonts w:ascii="Times New Roman" w:hAnsi="Times New Roman" w:cs="Times New Roman"/>
          <w:i/>
          <w:color w:val="17365D" w:themeColor="text2" w:themeShade="BF"/>
        </w:rPr>
        <w:t xml:space="preserve"> gaming room/obscuring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area</w:t>
      </w:r>
    </w:p>
    <w:p w14:paraId="62C18F53"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notes with approval that the venue had installed an opaque door to the gaming room to reduce visibility</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6A450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screening of the gaming from the venue entrance in amended refurbishment plans (para. 36)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B00C5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expresse</w:t>
      </w:r>
      <w:r w:rsidR="00D41242">
        <w:rPr>
          <w:rFonts w:ascii="Times New Roman" w:hAnsi="Times New Roman" w:cs="Times New Roman"/>
        </w:rPr>
        <w:t>s</w:t>
      </w:r>
      <w:r w:rsidRPr="00D63C18">
        <w:rPr>
          <w:rFonts w:ascii="Times New Roman" w:hAnsi="Times New Roman" w:cs="Times New Roman"/>
        </w:rPr>
        <w:t xml:space="preserve"> support for the installation of visual screening between main entrance and shopping centre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4D581D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Screening of gaming is beneficial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DE4514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Placement of the gaming room at the rear of hotel is an attribute (para. 89)</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0F080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w:t>
      </w:r>
      <w:r w:rsidR="00BA76AC">
        <w:rPr>
          <w:rFonts w:ascii="Times New Roman" w:hAnsi="Times New Roman" w:cs="Times New Roman"/>
          <w:i/>
          <w:color w:val="17365D" w:themeColor="text2" w:themeShade="BF"/>
        </w:rPr>
        <w:t>taff s</w:t>
      </w:r>
      <w:r w:rsidRPr="00603DF8">
        <w:rPr>
          <w:rFonts w:ascii="Times New Roman" w:hAnsi="Times New Roman" w:cs="Times New Roman"/>
          <w:i/>
          <w:color w:val="17365D" w:themeColor="text2" w:themeShade="BF"/>
        </w:rPr>
        <w:t xml:space="preserve">urveillance of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room</w:t>
      </w:r>
    </w:p>
    <w:p w14:paraId="0AB2E7D5"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remarks with endorsement that the venue had relocated CCTV screens to increase surveillance</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C74855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fact that staff supervising the gaming area are mindful of the welfare of patrons, (para. 29)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D2CEFFD"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modified layout which provides the bar and cashier staff with improved surveillance of the gaming room (para. 94)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FFFA76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accepts testimony that various new features (reduced opening hours, increased surveillance, better smoking areas etc.) will reduce risk of problem gambling, resulting in “materially less new expenditure coming from problem gamblers” (para. 100)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DC538C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‘Well-presented’ venues</w:t>
      </w:r>
    </w:p>
    <w:p w14:paraId="52205D4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relates with endorsement, that the hotel was </w:t>
      </w:r>
      <w:r w:rsidR="000C56E8">
        <w:rPr>
          <w:rFonts w:ascii="Times New Roman" w:hAnsi="Times New Roman" w:cs="Times New Roman"/>
        </w:rPr>
        <w:t>“</w:t>
      </w:r>
      <w:r w:rsidRPr="00D63C18">
        <w:rPr>
          <w:rFonts w:ascii="Times New Roman" w:hAnsi="Times New Roman" w:cs="Times New Roman"/>
        </w:rPr>
        <w:t>well presented</w:t>
      </w:r>
      <w:r w:rsidR="000C56E8">
        <w:rPr>
          <w:rFonts w:ascii="Times New Roman" w:hAnsi="Times New Roman" w:cs="Times New Roman"/>
        </w:rPr>
        <w:t>”</w:t>
      </w:r>
      <w:r w:rsidRPr="00D63C18">
        <w:rPr>
          <w:rFonts w:ascii="Times New Roman" w:hAnsi="Times New Roman" w:cs="Times New Roman"/>
        </w:rPr>
        <w:t xml:space="preserve"> (para. 29) and operated to a “good standard” (para. 30)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EA80420"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with approval that the venue is of good quality, provides a range of facilities and performs an important entertainment function in the community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4EB31F75"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Non-gaming alternatives at venue</w:t>
      </w:r>
    </w:p>
    <w:p w14:paraId="48CAB18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Various non-gambling features of the venue reduce “venue patrons’ focus on gambling as their purpose for attending the hotel” – citing an expert witness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30A7D9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attributes of the proposed location of EGMs in this case is that the area has much non-gambling entertainment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47FC325"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an improved smoking area which may encourage gamblers to take a break from gambling while </w:t>
      </w:r>
      <w:r w:rsidR="000C56E8">
        <w:rPr>
          <w:rFonts w:ascii="Times New Roman" w:hAnsi="Times New Roman" w:cs="Times New Roman"/>
          <w:color w:val="000000" w:themeColor="text1"/>
        </w:rPr>
        <w:t>concealing</w:t>
      </w:r>
      <w:r w:rsidRPr="00D63C18">
        <w:rPr>
          <w:rFonts w:ascii="Times New Roman" w:hAnsi="Times New Roman" w:cs="Times New Roman"/>
          <w:color w:val="000000" w:themeColor="text1"/>
        </w:rPr>
        <w:t xml:space="preserve"> the gaming area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46E475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new soft lounge, which adjoins, but is external to, the gaming room (para. 93)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5B4D4B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variety of non-gambling activities offered by the venue (para. 52)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55041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‘Balance’ between gaming and non-gaming activities</w:t>
      </w:r>
    </w:p>
    <w:p w14:paraId="52E3070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favours the application for providing space for additional EGMs without compromising the balance between gaming and other activities (para. 33)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Pr="00D63C18">
        <w:rPr>
          <w:rFonts w:ascii="Times New Roman" w:hAnsi="Times New Roman" w:cs="Times New Roman"/>
          <w:sz w:val="18"/>
          <w:szCs w:val="18"/>
        </w:rPr>
        <w:t xml:space="preserve"> </w:t>
      </w:r>
    </w:p>
    <w:p w14:paraId="6A910017" w14:textId="77777777" w:rsidR="00D63C18" w:rsidRPr="00D63C18" w:rsidRDefault="00D63C18" w:rsidP="00D63C18">
      <w:pPr>
        <w:spacing w:line="312" w:lineRule="auto"/>
        <w:jc w:val="both"/>
        <w:rPr>
          <w:rFonts w:ascii="Times New Roman" w:hAnsi="Times New Roman" w:cs="Times New Roman"/>
        </w:rPr>
      </w:pPr>
    </w:p>
    <w:p w14:paraId="57BD51D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Employment creation</w:t>
      </w:r>
    </w:p>
    <w:p w14:paraId="14F8822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A projected rise in employment levels in a community, resulting from an application, is viewed with favour by the Tribunal, especially if the community is already disadvantaged. The possibility that such employment growth may be matched by declines in other industry sectors, or in the case of transferred expenditure, by corresponding reductions in local gaming venues, does not appear to have </w:t>
      </w:r>
      <w:r w:rsidR="003627B1">
        <w:rPr>
          <w:rFonts w:ascii="Times New Roman" w:hAnsi="Times New Roman" w:cs="Times New Roman"/>
          <w:color w:val="008000"/>
        </w:rPr>
        <w:t>entered</w:t>
      </w:r>
      <w:r w:rsidRPr="00D63C18">
        <w:rPr>
          <w:rFonts w:ascii="Times New Roman" w:hAnsi="Times New Roman" w:cs="Times New Roman"/>
          <w:color w:val="008000"/>
        </w:rPr>
        <w:t xml:space="preserve"> upon the Tribunal’s deliberations.</w:t>
      </w:r>
    </w:p>
    <w:p w14:paraId="1CA54FE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favourably that an EGM increase will create jobs at the venue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F847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Employment of further staff under the proposal would be of benefit – all the more so in a less affluent community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BE6BA3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Increased employment during refurbishment is an economic benefit, especially in disadvantaged Braybrook, even if there are no guarantees as to who will get the jobs (para. 62)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D81D14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By contrast, the Tribunal states that the prospective impact of a rise in employment is reduced as locality already has high levels of employment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84664B7" w14:textId="77777777" w:rsidR="00D63C18" w:rsidRPr="00D63C18" w:rsidRDefault="00D63C18" w:rsidP="00D63C18">
      <w:pPr>
        <w:spacing w:line="312" w:lineRule="auto"/>
        <w:jc w:val="both"/>
        <w:rPr>
          <w:rFonts w:ascii="Times New Roman" w:hAnsi="Times New Roman" w:cs="Times New Roman"/>
        </w:rPr>
      </w:pPr>
    </w:p>
    <w:p w14:paraId="0F9284BE"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contributions</w:t>
      </w:r>
    </w:p>
    <w:p w14:paraId="02FB32B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Community contributions that would result from an application are considered beneficial, especially if they favour the community which patronises the venue or address gambling problems.</w:t>
      </w:r>
    </w:p>
    <w:p w14:paraId="79D520B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Benefits of community contributions</w:t>
      </w:r>
    </w:p>
    <w:p w14:paraId="005614D0"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with endorsement that the venue had proposed an increase in its community donations as part of the application</w:t>
      </w:r>
      <w:r w:rsidR="00FA7F53">
        <w:rPr>
          <w:rFonts w:ascii="Times New Roman" w:hAnsi="Times New Roman" w:cs="Times New Roman"/>
        </w:rPr>
        <w:t xml:space="preserve"> (para. 81)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169167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favours further $10,000 in community donations (paras. 33-37).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378F1E0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Donations by the venue are beneficial as they can “…be used to counter the factors that contribute to problem gambling including social isolation, and to directly support those who are problem gamblers”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088002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a social and economic benefit – the latter because the beneficiaries may purchase locally-secured goods and hire local labour (para. 65)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EB816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Beneficial features of the application include proposed increase in community contributions to $100,000 p.a. (para. 38)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2D0DF2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Limitations of community contributions</w:t>
      </w:r>
    </w:p>
    <w:p w14:paraId="120EC47A"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disapprovingly, that none of the donations will address problem gambling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942AD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of </w:t>
      </w:r>
      <w:r w:rsidR="00D41242">
        <w:rPr>
          <w:rFonts w:ascii="Times New Roman" w:hAnsi="Times New Roman" w:cs="Times New Roman"/>
        </w:rPr>
        <w:t>most weight</w:t>
      </w:r>
      <w:r w:rsidRPr="00D63C18">
        <w:rPr>
          <w:rFonts w:ascii="Times New Roman" w:hAnsi="Times New Roman" w:cs="Times New Roman"/>
        </w:rPr>
        <w:t xml:space="preserve"> if they benefit groups or charities which operate in the same community (para. 67)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E3CB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significance of the applicant offering to set a ‘floor’ of $120,000 on its annual community donation, “…as this is that nat</w:t>
      </w:r>
      <w:r w:rsidR="003627B1">
        <w:rPr>
          <w:rFonts w:ascii="Times New Roman" w:hAnsi="Times New Roman" w:cs="Times New Roman"/>
        </w:rPr>
        <w:t>ure of the club and reflects an</w:t>
      </w:r>
      <w:r w:rsidRPr="00D63C18">
        <w:rPr>
          <w:rFonts w:ascii="Times New Roman" w:hAnsi="Times New Roman" w:cs="Times New Roman"/>
        </w:rPr>
        <w:t xml:space="preserve"> existing pattern of its operations.” (para. 46)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846343"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cautions that it is difficult to assess the extent of possible problem gambling from the proposal and other criteria too – adding that the fact that community contribution can be quantified “should not cause that factor to be accorded undue significance” (para. 59)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0E0DD35" w14:textId="77777777" w:rsidR="00D63C18" w:rsidRPr="00D63C18" w:rsidRDefault="00D63C18" w:rsidP="00D63C18">
      <w:pPr>
        <w:spacing w:line="312" w:lineRule="auto"/>
        <w:jc w:val="both"/>
        <w:rPr>
          <w:rFonts w:ascii="Times New Roman" w:hAnsi="Times New Roman" w:cs="Times New Roman"/>
          <w:sz w:val="32"/>
          <w:szCs w:val="32"/>
        </w:rPr>
      </w:pPr>
    </w:p>
    <w:p w14:paraId="4D92E1E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Benefits of non-problem gaming expenditure</w:t>
      </w:r>
    </w:p>
    <w:p w14:paraId="16F0C50B"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The addition of gaming machines is considered beneficial where it adds to the range of choice for patrons and accentuates local competition among venues – though less so where there are already many opportunities to gamble, </w:t>
      </w:r>
      <w:r w:rsidR="00E43F9F">
        <w:rPr>
          <w:rFonts w:ascii="Times New Roman" w:hAnsi="Times New Roman" w:cs="Times New Roman"/>
          <w:color w:val="008000"/>
        </w:rPr>
        <w:t>lower</w:t>
      </w:r>
      <w:r w:rsidRPr="00D63C18">
        <w:rPr>
          <w:rFonts w:ascii="Times New Roman" w:hAnsi="Times New Roman" w:cs="Times New Roman"/>
          <w:color w:val="008000"/>
        </w:rPr>
        <w:t xml:space="preserve"> demand and fewer periods of peak activity </w:t>
      </w:r>
      <w:r w:rsidRPr="00E43F9F">
        <w:rPr>
          <w:rFonts w:ascii="Times New Roman" w:hAnsi="Times New Roman" w:cs="Times New Roman"/>
          <w:color w:val="008000"/>
          <w:sz w:val="18"/>
          <w:szCs w:val="18"/>
        </w:rPr>
        <w:t>(sometimes defined as &gt;60% of machines in use)</w:t>
      </w:r>
      <w:r w:rsidRPr="00D63C18">
        <w:rPr>
          <w:rFonts w:ascii="Times New Roman" w:hAnsi="Times New Roman" w:cs="Times New Roman"/>
          <w:color w:val="008000"/>
        </w:rPr>
        <w:t xml:space="preserve">. </w:t>
      </w:r>
    </w:p>
    <w:p w14:paraId="2DC3F47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185446E" w14:textId="77777777" w:rsidR="00D63C18" w:rsidRPr="00D63C18" w:rsidRDefault="000C56E8" w:rsidP="00D63C18">
      <w:pPr>
        <w:spacing w:after="60" w:line="312" w:lineRule="auto"/>
        <w:jc w:val="both"/>
        <w:rPr>
          <w:rFonts w:ascii="Times New Roman" w:hAnsi="Times New Roman" w:cs="Times New Roman"/>
        </w:rPr>
      </w:pPr>
      <w:r>
        <w:rPr>
          <w:rFonts w:ascii="Times New Roman" w:hAnsi="Times New Roman" w:cs="Times New Roman"/>
        </w:rPr>
        <w:t xml:space="preserve">To </w:t>
      </w:r>
      <w:r w:rsidR="00D63C18" w:rsidRPr="00D63C18">
        <w:rPr>
          <w:rFonts w:ascii="Times New Roman" w:hAnsi="Times New Roman" w:cs="Times New Roman"/>
        </w:rPr>
        <w:t xml:space="preserve">the extent that new expenditure is not accompanied by increased gambling problems, it is “consumer surplus” and is an “economic benefit” (para. 60)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09EFE57" w14:textId="77777777" w:rsidR="00D63C18" w:rsidRPr="00D63C18" w:rsidRDefault="000C56E8" w:rsidP="00D63C18">
      <w:pPr>
        <w:spacing w:after="60" w:line="312" w:lineRule="auto"/>
        <w:jc w:val="both"/>
        <w:rPr>
          <w:rFonts w:ascii="Times New Roman" w:hAnsi="Times New Roman" w:cs="Times New Roman"/>
          <w:sz w:val="18"/>
          <w:szCs w:val="18"/>
        </w:rPr>
      </w:pPr>
      <w:r>
        <w:rPr>
          <w:rFonts w:ascii="Times New Roman" w:hAnsi="Times New Roman" w:cs="Times New Roman"/>
        </w:rPr>
        <w:t>The e</w:t>
      </w:r>
      <w:r w:rsidR="00D63C18" w:rsidRPr="00D63C18">
        <w:rPr>
          <w:rFonts w:ascii="Times New Roman" w:hAnsi="Times New Roman" w:cs="Times New Roman"/>
        </w:rPr>
        <w:t>ffect of addition of EGMs upon ordinary recreational gamblers is economic benefit (para. 36)</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D63C18" w:rsidRPr="00D63C18">
        <w:rPr>
          <w:rFonts w:ascii="Times New Roman" w:hAnsi="Times New Roman" w:cs="Times New Roman"/>
          <w:sz w:val="18"/>
          <w:szCs w:val="18"/>
        </w:rPr>
        <w:t xml:space="preserve"> and </w:t>
      </w:r>
      <w:r w:rsidR="00D63C18" w:rsidRPr="00D63C18">
        <w:rPr>
          <w:rFonts w:ascii="Times New Roman" w:hAnsi="Times New Roman" w:cs="Times New Roman"/>
        </w:rPr>
        <w:t>(para. 20)</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6E9002EE"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Yet..</w:t>
      </w:r>
    </w:p>
    <w:p w14:paraId="25CD4E9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economic benefit of non-problem gambling expenditure is reduced by</w:t>
      </w:r>
      <w:r w:rsidR="000C56E8">
        <w:rPr>
          <w:rFonts w:ascii="Times New Roman" w:hAnsi="Times New Roman" w:cs="Times New Roman"/>
        </w:rPr>
        <w:t xml:space="preserve"> the</w:t>
      </w:r>
      <w:r w:rsidRPr="00D63C18">
        <w:rPr>
          <w:rFonts w:ascii="Times New Roman" w:hAnsi="Times New Roman" w:cs="Times New Roman"/>
        </w:rPr>
        <w:t xml:space="preserve"> fact that “ economic multipliers applicable to expenditure on EGMs are among the lowest of all industry sectors in terms of flow-on to the regional economy” (para. 86), making the economic benefit marginal in this </w:t>
      </w:r>
      <w:r w:rsidRPr="000C56E8">
        <w:rPr>
          <w:rFonts w:ascii="Times New Roman" w:hAnsi="Times New Roman" w:cs="Times New Roman"/>
        </w:rPr>
        <w:t>case</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04BB11E" w14:textId="77777777" w:rsidR="00D63C18" w:rsidRPr="00D63C18" w:rsidRDefault="00D63C18" w:rsidP="00D63C18">
      <w:pPr>
        <w:spacing w:line="312" w:lineRule="auto"/>
        <w:jc w:val="both"/>
        <w:rPr>
          <w:rFonts w:ascii="Times New Roman" w:hAnsi="Times New Roman" w:cs="Times New Roman"/>
          <w:sz w:val="12"/>
          <w:szCs w:val="12"/>
        </w:rPr>
      </w:pPr>
    </w:p>
    <w:p w14:paraId="02D6BEB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competition &amp; choice</w:t>
      </w:r>
    </w:p>
    <w:p w14:paraId="035E4A45"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Increased competition due to additional EGMs is an economic benefit – though low because there are already many EGMs in the local market and the application is for a small number of machines (para. 66)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353F4D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with approval that there is demand for more EGMs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E58ACE" w14:textId="77777777" w:rsid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The main impact of this top-up application will be in peak periods “…as there are already opportunities for people wishing to engage in gambling on EGMs in the shire” (para. 65)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F0AEB29" w14:textId="77777777" w:rsidR="00603DF8" w:rsidRPr="00D63C18" w:rsidRDefault="00603DF8" w:rsidP="00D41242">
      <w:pPr>
        <w:spacing w:after="60" w:line="312" w:lineRule="auto"/>
        <w:jc w:val="both"/>
        <w:rPr>
          <w:rFonts w:ascii="Times New Roman" w:hAnsi="Times New Roman" w:cs="Times New Roman"/>
        </w:rPr>
      </w:pPr>
    </w:p>
    <w:p w14:paraId="20EC541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application – increased choices, competing, EGM losses and gambling problems</w:t>
      </w:r>
    </w:p>
    <w:p w14:paraId="2561F7A7"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Small number of EGMs</w:t>
      </w:r>
    </w:p>
    <w:p w14:paraId="3A669597" w14:textId="77777777" w:rsidR="00D63C18" w:rsidRPr="00D63C18" w:rsidRDefault="00D41242" w:rsidP="00D63C18">
      <w:pPr>
        <w:spacing w:after="60" w:line="312" w:lineRule="auto"/>
        <w:jc w:val="both"/>
        <w:rPr>
          <w:rFonts w:ascii="Times New Roman" w:hAnsi="Times New Roman" w:cs="Times New Roman"/>
          <w:i/>
        </w:rPr>
      </w:pPr>
      <w:r>
        <w:rPr>
          <w:rFonts w:ascii="Times New Roman" w:hAnsi="Times New Roman" w:cs="Times New Roman"/>
        </w:rPr>
        <w:t>The Tribunal favours</w:t>
      </w:r>
      <w:r w:rsidR="00D63C18" w:rsidRPr="00D63C18">
        <w:rPr>
          <w:rFonts w:ascii="Times New Roman" w:hAnsi="Times New Roman" w:cs="Times New Roman"/>
        </w:rPr>
        <w:t xml:space="preserve"> evidence that the risk of problem gambling due to 10 EGMs is low </w:t>
      </w:r>
      <w:r w:rsidR="00D63C18"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85861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prospect of problem gambling arising from addition of EGMs would be alleviated by limited number of EGMs in the application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976F294"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Few EGMs/minimal risk of gambling problems/small benefit of refurbishments, compared with what is already available in the area</w:t>
      </w:r>
    </w:p>
    <w:p w14:paraId="6345151E"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Little weight given to the increased variety of EGMs, and </w:t>
      </w:r>
      <w:r w:rsidR="00D41242">
        <w:rPr>
          <w:rFonts w:ascii="Times New Roman" w:hAnsi="Times New Roman" w:cs="Times New Roman"/>
        </w:rPr>
        <w:t>intensified</w:t>
      </w:r>
      <w:r w:rsidRPr="00D63C18">
        <w:rPr>
          <w:rFonts w:ascii="Times New Roman" w:hAnsi="Times New Roman" w:cs="Times New Roman"/>
        </w:rPr>
        <w:t xml:space="preserve"> competition, since there are already many EGMs in the area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C481BC1" w14:textId="77777777" w:rsidR="00D63C18" w:rsidRPr="00D63C18" w:rsidRDefault="00D41242" w:rsidP="00D63C18">
      <w:pPr>
        <w:spacing w:after="60" w:line="312" w:lineRule="auto"/>
        <w:jc w:val="both"/>
        <w:rPr>
          <w:rFonts w:ascii="Times New Roman" w:hAnsi="Times New Roman" w:cs="Times New Roman"/>
          <w:sz w:val="18"/>
          <w:szCs w:val="18"/>
        </w:rPr>
      </w:pPr>
      <w:r>
        <w:rPr>
          <w:rFonts w:ascii="Times New Roman" w:hAnsi="Times New Roman" w:cs="Times New Roman"/>
        </w:rPr>
        <w:t>Additional</w:t>
      </w:r>
      <w:r w:rsidR="00D63C18" w:rsidRPr="00D63C18">
        <w:rPr>
          <w:rFonts w:ascii="Times New Roman" w:hAnsi="Times New Roman" w:cs="Times New Roman"/>
        </w:rPr>
        <w:t xml:space="preserve"> EGMs would escalate competition – which is positive – but only by a small extent in a community with other venues (para. 63). Similarly, increase</w:t>
      </w:r>
      <w:r w:rsidR="000C56E8">
        <w:rPr>
          <w:rFonts w:ascii="Times New Roman" w:hAnsi="Times New Roman" w:cs="Times New Roman"/>
        </w:rPr>
        <w:t>d</w:t>
      </w:r>
      <w:r w:rsidR="00D63C18" w:rsidRPr="00D63C18">
        <w:rPr>
          <w:rFonts w:ascii="Times New Roman" w:hAnsi="Times New Roman" w:cs="Times New Roman"/>
        </w:rPr>
        <w:t xml:space="preserve"> access to gaming for non-problem gamblers is a benefit</w:t>
      </w:r>
      <w:r>
        <w:rPr>
          <w:rFonts w:ascii="Times New Roman" w:hAnsi="Times New Roman" w:cs="Times New Roman"/>
        </w:rPr>
        <w:t>,</w:t>
      </w:r>
      <w:r w:rsidR="00D63C18" w:rsidRPr="00D63C18">
        <w:rPr>
          <w:rFonts w:ascii="Times New Roman" w:hAnsi="Times New Roman" w:cs="Times New Roman"/>
        </w:rPr>
        <w:t xml:space="preserve"> but a small one since there are other venues nearby (para. 63)</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55D9E9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number of EGMs sought in the application is relatively low compared with the total in the municipality with the result that they would add little to the many existing opportunities for gambling (para. 84)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39AF5A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prospect of problem gambling arising from addition of EGMs would be </w:t>
      </w:r>
      <w:r w:rsidR="000C56E8">
        <w:rPr>
          <w:rFonts w:ascii="Times New Roman" w:hAnsi="Times New Roman" w:cs="Times New Roman"/>
        </w:rPr>
        <w:t>extenuated</w:t>
      </w:r>
      <w:r w:rsidRPr="00D63C18">
        <w:rPr>
          <w:rFonts w:ascii="Times New Roman" w:hAnsi="Times New Roman" w:cs="Times New Roman"/>
        </w:rPr>
        <w:t xml:space="preserve"> by the fact that gaming is already widely available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ACE005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prospect of problem gambling related to application is largely negated by presence of other nearby venues [hence this application is not likely to make matters much worse] (para. 74)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BF02E8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prospective rise in gaming expenditure and choice has benefit but this effect is small in a community with an already wide choice and high expenditure on gaming (para. 44)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359C8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are accorded marginal weight (para. 127)</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BC1C1D3" w14:textId="77777777" w:rsidR="00D63C18" w:rsidRPr="00D63C18" w:rsidRDefault="00D63C18" w:rsidP="00D63C18">
      <w:pPr>
        <w:spacing w:line="312" w:lineRule="auto"/>
        <w:jc w:val="both"/>
        <w:rPr>
          <w:rFonts w:ascii="Times New Roman" w:hAnsi="Times New Roman" w:cs="Times New Roman"/>
        </w:rPr>
      </w:pPr>
    </w:p>
    <w:p w14:paraId="3335A800" w14:textId="77777777" w:rsidR="00D63C18" w:rsidRPr="00D63C18" w:rsidRDefault="00D63C18" w:rsidP="00D63C18">
      <w:pPr>
        <w:rPr>
          <w:rFonts w:ascii="Times New Roman" w:hAnsi="Times New Roman" w:cs="Times New Roman"/>
        </w:rPr>
      </w:pPr>
      <w:r w:rsidRPr="00D63C18">
        <w:rPr>
          <w:rFonts w:ascii="Times New Roman" w:hAnsi="Times New Roman" w:cs="Times New Roman"/>
        </w:rPr>
        <w:br w:type="page"/>
      </w:r>
    </w:p>
    <w:p w14:paraId="2C7AD481"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THE EXTENT AND NATURE OF GAMBLING PROBLEMS</w:t>
      </w:r>
    </w:p>
    <w:p w14:paraId="7F371DC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Estimates of increased revenue</w:t>
      </w:r>
    </w:p>
    <w:p w14:paraId="007EF926"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 xml:space="preserve">Some decisions reveal an acceptance of the validity of the Geotech model for estimating rises in gaming revenue and the proportion of that increase which may be attributed to ‘new’ expenditure. Other decisions affirm the view that the marginal rise in expenditure per additional EGM is less than the existing level of gaming revenue per gaming machine. </w:t>
      </w:r>
    </w:p>
    <w:p w14:paraId="2228D8C9"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Notably, one decision considers with perceptive incredulity the comparison between</w:t>
      </w:r>
      <w:r w:rsidR="00E43F9F">
        <w:rPr>
          <w:rFonts w:ascii="Times New Roman" w:hAnsi="Times New Roman" w:cs="Times New Roman"/>
          <w:color w:val="008000"/>
        </w:rPr>
        <w:t xml:space="preserve"> a</w:t>
      </w:r>
      <w:r w:rsidRPr="00D63C18">
        <w:rPr>
          <w:rFonts w:ascii="Times New Roman" w:hAnsi="Times New Roman" w:cs="Times New Roman"/>
          <w:color w:val="008000"/>
        </w:rPr>
        <w:t xml:space="preserve"> recent </w:t>
      </w:r>
      <w:r w:rsidR="00E43F9F">
        <w:rPr>
          <w:rFonts w:ascii="Times New Roman" w:hAnsi="Times New Roman" w:cs="Times New Roman"/>
          <w:color w:val="008000"/>
        </w:rPr>
        <w:t>surge</w:t>
      </w:r>
      <w:r w:rsidRPr="00D63C18">
        <w:rPr>
          <w:rFonts w:ascii="Times New Roman" w:hAnsi="Times New Roman" w:cs="Times New Roman"/>
          <w:color w:val="008000"/>
        </w:rPr>
        <w:t xml:space="preserve"> in gaming revenue in the absence of additional EGMs</w:t>
      </w:r>
      <w:r w:rsidR="00E43F9F">
        <w:rPr>
          <w:rFonts w:ascii="Times New Roman" w:hAnsi="Times New Roman" w:cs="Times New Roman"/>
          <w:color w:val="008000"/>
        </w:rPr>
        <w:t>,</w:t>
      </w:r>
      <w:r w:rsidRPr="00D63C18">
        <w:rPr>
          <w:rFonts w:ascii="Times New Roman" w:hAnsi="Times New Roman" w:cs="Times New Roman"/>
          <w:color w:val="008000"/>
        </w:rPr>
        <w:t xml:space="preserve"> with a </w:t>
      </w:r>
      <w:r w:rsidR="00E43F9F">
        <w:rPr>
          <w:rFonts w:ascii="Times New Roman" w:hAnsi="Times New Roman" w:cs="Times New Roman"/>
          <w:color w:val="008000"/>
        </w:rPr>
        <w:t>conservative</w:t>
      </w:r>
      <w:r w:rsidRPr="00D63C18">
        <w:rPr>
          <w:rFonts w:ascii="Times New Roman" w:hAnsi="Times New Roman" w:cs="Times New Roman"/>
          <w:color w:val="008000"/>
        </w:rPr>
        <w:t xml:space="preserve"> estimate of future expenditure even after the proposed installation of further gaming machines.</w:t>
      </w:r>
    </w:p>
    <w:p w14:paraId="1411506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Acceptance of Geotech model</w:t>
      </w:r>
    </w:p>
    <w:p w14:paraId="7746DD1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While </w:t>
      </w:r>
      <w:r w:rsidR="00D41242">
        <w:rPr>
          <w:rFonts w:ascii="Times New Roman" w:hAnsi="Times New Roman" w:cs="Times New Roman"/>
        </w:rPr>
        <w:t>the Tribunal</w:t>
      </w:r>
      <w:r w:rsidRPr="00D63C18">
        <w:rPr>
          <w:rFonts w:ascii="Times New Roman" w:hAnsi="Times New Roman" w:cs="Times New Roman"/>
        </w:rPr>
        <w:t xml:space="preserve"> has entertained concerns about the Geotech system, it has been updated and shows increased accuracy (para. 55).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9CB71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Marginal increase in revenue is of relevance</w:t>
      </w:r>
    </w:p>
    <w:p w14:paraId="3B29265B"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The Tribunal does not accept Council evidence about problem gambling expenditure because it relate</w:t>
      </w:r>
      <w:r w:rsidR="000C56E8">
        <w:rPr>
          <w:rFonts w:ascii="Times New Roman" w:hAnsi="Times New Roman" w:cs="Times New Roman"/>
        </w:rPr>
        <w:t>s</w:t>
      </w:r>
      <w:r w:rsidRPr="00D63C18">
        <w:rPr>
          <w:rFonts w:ascii="Times New Roman" w:hAnsi="Times New Roman" w:cs="Times New Roman"/>
        </w:rPr>
        <w:t xml:space="preserve"> to all gaming expenditure rather than the marginal impact of this application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4B136A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Impact of additional EGMs not equal to that of existing machines</w:t>
      </w:r>
    </w:p>
    <w:p w14:paraId="0D8B0E2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discounts council’s assertions about problem gambling expenditure because </w:t>
      </w:r>
      <w:r w:rsidR="00970A22">
        <w:rPr>
          <w:rFonts w:ascii="Times New Roman" w:hAnsi="Times New Roman" w:cs="Times New Roman"/>
        </w:rPr>
        <w:t>it</w:t>
      </w:r>
      <w:r w:rsidRPr="00D63C18">
        <w:rPr>
          <w:rFonts w:ascii="Times New Roman" w:hAnsi="Times New Roman" w:cs="Times New Roman"/>
        </w:rPr>
        <w:t xml:space="preserve"> had assumed the level of expenditure on new machines could be equal to that of existing EGMs – which tend to be lower in a top-up application (paras. 80-81) “In other words”</w:t>
      </w:r>
      <w:r w:rsidR="00970A22">
        <w:rPr>
          <w:rFonts w:ascii="Times New Roman" w:hAnsi="Times New Roman" w:cs="Times New Roman"/>
        </w:rPr>
        <w:t>,</w:t>
      </w:r>
      <w:r w:rsidRPr="00D63C18">
        <w:rPr>
          <w:rFonts w:ascii="Times New Roman" w:hAnsi="Times New Roman" w:cs="Times New Roman"/>
        </w:rPr>
        <w:t xml:space="preserve"> the Tribunal concluded, “the straight line estimate …is not supported by the evidence.”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AAA7AF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Recent rise in gaming expenditure may discredit a conservative estimate of revenue increase</w:t>
      </w:r>
    </w:p>
    <w:p w14:paraId="693CCB58"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the argument that gaming revenue in the hotel has risen markedly in recent years, without any rise in EGMs or change in opening hours and with only slight renovation, is “a striking result”. The Tribunal therefore concludes that it is improbable that revenue could rise to this extent without big changes and yet rise to an extent not much greater with the addition of 14 EGMs and major refurbishment, according to estimates submitted by the applicant (paras. 52-53).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C51D8D7" w14:textId="77777777" w:rsidR="00D63C18" w:rsidRDefault="00D63C18" w:rsidP="00D63C18">
      <w:pPr>
        <w:spacing w:line="312" w:lineRule="auto"/>
        <w:jc w:val="both"/>
        <w:rPr>
          <w:rFonts w:ascii="Times New Roman" w:hAnsi="Times New Roman" w:cs="Times New Roman"/>
          <w:sz w:val="12"/>
          <w:szCs w:val="12"/>
        </w:rPr>
      </w:pPr>
    </w:p>
    <w:p w14:paraId="4AF8A332" w14:textId="77777777" w:rsidR="00A32E55" w:rsidRDefault="00A32E55" w:rsidP="00D63C18">
      <w:pPr>
        <w:spacing w:line="312" w:lineRule="auto"/>
        <w:jc w:val="both"/>
        <w:rPr>
          <w:rFonts w:ascii="Times New Roman" w:hAnsi="Times New Roman" w:cs="Times New Roman"/>
          <w:sz w:val="12"/>
          <w:szCs w:val="12"/>
        </w:rPr>
      </w:pPr>
    </w:p>
    <w:p w14:paraId="3F998F01" w14:textId="77777777" w:rsidR="00A32E55" w:rsidRPr="00D63C18" w:rsidRDefault="00A32E55" w:rsidP="00D63C18">
      <w:pPr>
        <w:spacing w:line="312" w:lineRule="auto"/>
        <w:jc w:val="both"/>
        <w:rPr>
          <w:rFonts w:ascii="Times New Roman" w:hAnsi="Times New Roman" w:cs="Times New Roman"/>
          <w:sz w:val="12"/>
          <w:szCs w:val="12"/>
        </w:rPr>
      </w:pPr>
    </w:p>
    <w:p w14:paraId="010FEB0A"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Some expenditure causes gambling problems</w:t>
      </w:r>
    </w:p>
    <w:p w14:paraId="5AB891A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It is acknowledged that new gaming expenditure may contribute to gambling problems, through the Tribunal maintains that the scale of such adverse effects is minimised where the level of ‘new’ expenditure is revis</w:t>
      </w:r>
      <w:r w:rsidR="00E43F9F">
        <w:rPr>
          <w:rFonts w:ascii="Times New Roman" w:hAnsi="Times New Roman" w:cs="Times New Roman"/>
          <w:color w:val="008000"/>
        </w:rPr>
        <w:t xml:space="preserve">ed downward at a hearing, or if, in its appraisal, </w:t>
      </w:r>
      <w:r w:rsidRPr="00D63C18">
        <w:rPr>
          <w:rFonts w:ascii="Times New Roman" w:hAnsi="Times New Roman" w:cs="Times New Roman"/>
          <w:color w:val="008000"/>
        </w:rPr>
        <w:t>expenditure related to gambling problems accounts for a small proportion of gaming revenue.</w:t>
      </w:r>
    </w:p>
    <w:p w14:paraId="75B8CE9E"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amount of additional (non-transferred) expenditure attributable to problem gambling is part of the context within which the extent of the benefit of community contributions is to be considered: community organisations will be winners, and problem gamblers and their families will be losers” (para. 115)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4DDB80FA" w14:textId="77777777" w:rsidR="00D63C18" w:rsidRPr="00D63C18" w:rsidRDefault="00D63C18" w:rsidP="00D63C18">
      <w:pPr>
        <w:spacing w:before="60" w:after="60" w:line="312" w:lineRule="auto"/>
        <w:jc w:val="both"/>
        <w:rPr>
          <w:rFonts w:ascii="Times New Roman" w:hAnsi="Times New Roman" w:cs="Times New Roman"/>
          <w:i/>
        </w:rPr>
      </w:pPr>
      <w:r w:rsidRPr="00D63C18">
        <w:rPr>
          <w:rFonts w:ascii="Times New Roman" w:hAnsi="Times New Roman" w:cs="Times New Roman"/>
          <w:i/>
        </w:rPr>
        <w:t>But…</w:t>
      </w:r>
    </w:p>
    <w:p w14:paraId="78EFE1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notes that EGMs are being reinstalled at a club where they operated in the past, with no evidence that they caused any gambling problem at that time (para. 79)</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259D189E"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Number of EGMs is low and a small proportion of anticipated expenditure is new, and the proportion of that which contributes to problem gambling is trifling, with the consequence that the risk of problem gambling from the application is low</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6C626AA"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4AC6034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Transferred expenditure causes no net harm</w:t>
      </w:r>
    </w:p>
    <w:p w14:paraId="297790A2"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Transferred expenditure should not be included as “such expenditure cannot exacerbate problem gambling” (para. 113)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AF45D4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Downward revision of new expenditure may improve an application</w:t>
      </w:r>
    </w:p>
    <w:p w14:paraId="3BAB8978"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favourably that the venue had refined the calculation of new expenditure downward, adding that this reduction is ‘accepted by all parties’ (para. 93) yet elsewhere concludes that it is ‘even more difficult to predict than gross expenditure’ (para. 38)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EC5933D"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Reduced estimate of new expenditure reduces the risk of problem gambling</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CAE726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new expenditure is small, relative to municipal levels</w:t>
      </w:r>
    </w:p>
    <w:p w14:paraId="0B680B87"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18EE44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Low EGM utilisation rates </w:t>
      </w:r>
    </w:p>
    <w:p w14:paraId="51D948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Low EGM utilisation rates mean that addition of gaming machines will have little effect on accessibility of gaming, so to the extent that this may affect problem gambling it will not be a factor</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7CE5AC0" w14:textId="77777777" w:rsidR="00D63C18" w:rsidRPr="00D63C18" w:rsidRDefault="00D63C18" w:rsidP="00D63C18">
      <w:pPr>
        <w:spacing w:line="312" w:lineRule="auto"/>
        <w:jc w:val="both"/>
        <w:rPr>
          <w:rFonts w:ascii="Times New Roman" w:hAnsi="Times New Roman" w:cs="Times New Roman"/>
          <w:sz w:val="16"/>
          <w:szCs w:val="16"/>
        </w:rPr>
      </w:pPr>
    </w:p>
    <w:p w14:paraId="627C3E4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Net machine revenue</w:t>
      </w:r>
    </w:p>
    <w:p w14:paraId="536D40E4"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adopts 60% of EGMs being used as</w:t>
      </w:r>
      <w:r w:rsidR="00970A22">
        <w:rPr>
          <w:rFonts w:ascii="Times New Roman" w:hAnsi="Times New Roman" w:cs="Times New Roman"/>
        </w:rPr>
        <w:t xml:space="preserve"> its criterion for</w:t>
      </w:r>
      <w:r w:rsidRPr="00D63C18">
        <w:rPr>
          <w:rFonts w:ascii="Times New Roman" w:hAnsi="Times New Roman" w:cs="Times New Roman"/>
        </w:rPr>
        <w:t xml:space="preserve"> “peak utilisation” (para. 73)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215F5FA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evidence of an applicant witness that there may be some problem gambling at the club, owing to the high net machine revenue (NMR) and the low EGM utilisation rate (para. 71)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2E4F73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Since the venue has </w:t>
      </w:r>
      <w:r w:rsidR="00970A22">
        <w:rPr>
          <w:rFonts w:ascii="Times New Roman" w:hAnsi="Times New Roman" w:cs="Times New Roman"/>
        </w:rPr>
        <w:t>the “</w:t>
      </w:r>
      <w:r w:rsidRPr="00D63C18">
        <w:rPr>
          <w:rFonts w:ascii="Times New Roman" w:hAnsi="Times New Roman" w:cs="Times New Roman"/>
        </w:rPr>
        <w:t>ambiance</w:t>
      </w:r>
      <w:r w:rsidR="00970A22">
        <w:rPr>
          <w:rFonts w:ascii="Times New Roman" w:hAnsi="Times New Roman" w:cs="Times New Roman"/>
        </w:rPr>
        <w:t>”</w:t>
      </w:r>
      <w:r w:rsidRPr="00D63C18">
        <w:rPr>
          <w:rFonts w:ascii="Times New Roman" w:hAnsi="Times New Roman" w:cs="Times New Roman"/>
        </w:rPr>
        <w:t xml:space="preserve"> of a metro family hotel – and not an RSL – then NMR is compared with metro</w:t>
      </w:r>
      <w:r w:rsidR="00970A22">
        <w:rPr>
          <w:rFonts w:ascii="Times New Roman" w:hAnsi="Times New Roman" w:cs="Times New Roman"/>
        </w:rPr>
        <w:t>politan</w:t>
      </w:r>
      <w:r w:rsidRPr="00D63C18">
        <w:rPr>
          <w:rFonts w:ascii="Times New Roman" w:hAnsi="Times New Roman" w:cs="Times New Roman"/>
        </w:rPr>
        <w:t xml:space="preserve"> hotels with the finding that it is not relatively high </w:t>
      </w:r>
      <w:r w:rsidR="00970A22">
        <w:rPr>
          <w:rFonts w:ascii="Times New Roman" w:hAnsi="Times New Roman" w:cs="Times New Roman"/>
        </w:rPr>
        <w:t>[</w:t>
      </w:r>
      <w:r w:rsidRPr="00D63C18">
        <w:rPr>
          <w:rFonts w:ascii="Times New Roman" w:hAnsi="Times New Roman" w:cs="Times New Roman"/>
        </w:rPr>
        <w:t>whereas it would be high compared with RSL clubs etc.</w:t>
      </w:r>
      <w:r w:rsidR="00970A22">
        <w:rPr>
          <w:rFonts w:ascii="Times New Roman" w:hAnsi="Times New Roman" w:cs="Times New Roman"/>
        </w:rPr>
        <w:t>]</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4ED9EC7" w14:textId="77777777" w:rsidR="00D63C18" w:rsidRDefault="00D63C18" w:rsidP="00D63C18">
      <w:pPr>
        <w:spacing w:line="312" w:lineRule="auto"/>
        <w:jc w:val="both"/>
        <w:rPr>
          <w:rFonts w:ascii="Times New Roman" w:hAnsi="Times New Roman" w:cs="Times New Roman"/>
          <w:sz w:val="16"/>
          <w:szCs w:val="16"/>
        </w:rPr>
      </w:pPr>
    </w:p>
    <w:p w14:paraId="2AF0F3F0" w14:textId="77777777" w:rsidR="00A32E55" w:rsidRDefault="00A32E55" w:rsidP="00D63C18">
      <w:pPr>
        <w:spacing w:line="312" w:lineRule="auto"/>
        <w:jc w:val="both"/>
        <w:rPr>
          <w:rFonts w:ascii="Times New Roman" w:hAnsi="Times New Roman" w:cs="Times New Roman"/>
          <w:b/>
          <w:color w:val="17365D" w:themeColor="text2" w:themeShade="BF"/>
        </w:rPr>
      </w:pPr>
    </w:p>
    <w:p w14:paraId="78CB082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Extent of gambling problems</w:t>
      </w:r>
      <w:r w:rsidR="00A9677F">
        <w:rPr>
          <w:rFonts w:ascii="Times New Roman" w:hAnsi="Times New Roman" w:cs="Times New Roman"/>
          <w:b/>
          <w:color w:val="17365D" w:themeColor="text2" w:themeShade="BF"/>
        </w:rPr>
        <w:t xml:space="preserve"> among venue patrons</w:t>
      </w:r>
    </w:p>
    <w:p w14:paraId="200431A2"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Tribunal decisions have accepted findings of the Productivity Commission which include the proposition that a substantial proportion of gaming patronage and expenditure is a product of severe or moderate gambling problems. Such decisions though, do not acknowledge the impact of mild gambling problems, which researchers conclude, account for a high proportion of gambling losses and patronage.</w:t>
      </w:r>
    </w:p>
    <w:p w14:paraId="5BF0E4B3"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Tellingly, the Tribunal acknowledges the insufficiency of evidence concerning the nature and extent of gambling problems – though at times, the absence of such information has not deterred it from reaching firm conclusions about the likely prospective extent of gambling problems associated with gaming applications.</w:t>
      </w:r>
    </w:p>
    <w:p w14:paraId="438280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recounts Productivity Commission findings that about 0.5-1% of </w:t>
      </w:r>
      <w:r w:rsidR="00970A22">
        <w:rPr>
          <w:rFonts w:ascii="Times New Roman" w:hAnsi="Times New Roman" w:cs="Times New Roman"/>
        </w:rPr>
        <w:t>adults</w:t>
      </w:r>
      <w:r w:rsidRPr="00D63C18">
        <w:rPr>
          <w:rFonts w:ascii="Times New Roman" w:hAnsi="Times New Roman" w:cs="Times New Roman"/>
        </w:rPr>
        <w:t xml:space="preserve"> have severe gambling problems and 1.4-2% moderate, and that gamblers account for an average of 41% of gaming expenditure (para. 45)</w:t>
      </w:r>
      <w:r w:rsidRPr="00D63C18">
        <w:rPr>
          <w:rFonts w:ascii="Times New Roman" w:hAnsi="Times New Roman" w:cs="Times New Roman"/>
          <w:i/>
        </w:rPr>
        <w:t xml:space="preserve"> </w:t>
      </w:r>
      <w:r w:rsidRPr="0015534C">
        <w:rPr>
          <w:rFonts w:ascii="Times New Roman" w:hAnsi="Times New Roman" w:cs="Times New Roman"/>
          <w:sz w:val="18"/>
          <w:szCs w:val="18"/>
        </w:rPr>
        <w:t>(L’Unico v Monash CC 2013</w:t>
      </w:r>
      <w:r w:rsidR="00970A22">
        <w:rPr>
          <w:rFonts w:ascii="Times New Roman" w:hAnsi="Times New Roman" w:cs="Times New Roman"/>
          <w:sz w:val="18"/>
          <w:szCs w:val="18"/>
        </w:rPr>
        <w:t xml:space="preserve">; </w:t>
      </w:r>
      <w:r w:rsidR="00970A22" w:rsidRPr="00D63C18">
        <w:rPr>
          <w:rFonts w:ascii="Times New Roman" w:hAnsi="Times New Roman" w:cs="Times New Roman"/>
          <w:sz w:val="18"/>
          <w:szCs w:val="18"/>
        </w:rPr>
        <w:t xml:space="preserve">ALH Group v Whittlesea CC </w:t>
      </w:r>
      <w:r w:rsidR="00970A22">
        <w:rPr>
          <w:rFonts w:ascii="Times New Roman" w:hAnsi="Times New Roman" w:cs="Times New Roman"/>
          <w:sz w:val="18"/>
          <w:szCs w:val="18"/>
        </w:rPr>
        <w:t>2017</w:t>
      </w:r>
      <w:r w:rsidRPr="0015534C">
        <w:rPr>
          <w:rFonts w:ascii="Times New Roman" w:hAnsi="Times New Roman" w:cs="Times New Roman"/>
          <w:sz w:val="18"/>
          <w:szCs w:val="18"/>
        </w:rPr>
        <w:t>)</w:t>
      </w:r>
      <w:r w:rsidR="0015534C" w:rsidRPr="0015534C">
        <w:rPr>
          <w:rFonts w:ascii="Times New Roman" w:hAnsi="Times New Roman" w:cs="Times New Roman"/>
          <w:sz w:val="18"/>
          <w:szCs w:val="18"/>
        </w:rPr>
        <w:t>.</w:t>
      </w:r>
    </w:p>
    <w:p w14:paraId="008836F9" w14:textId="77777777" w:rsidR="00D63C18" w:rsidRPr="00D63C18" w:rsidRDefault="00D63C18" w:rsidP="00D63C18">
      <w:pPr>
        <w:pStyle w:val="ListParagraph"/>
        <w:spacing w:after="60" w:line="312" w:lineRule="auto"/>
        <w:ind w:left="0"/>
        <w:jc w:val="both"/>
        <w:rPr>
          <w:rFonts w:ascii="Times New Roman" w:hAnsi="Times New Roman"/>
          <w:color w:val="000000" w:themeColor="text1"/>
        </w:rPr>
      </w:pPr>
      <w:r w:rsidRPr="00D63C18">
        <w:rPr>
          <w:rFonts w:ascii="Times New Roman" w:hAnsi="Times New Roman"/>
        </w:rPr>
        <w:t xml:space="preserve">The Tribunal cites </w:t>
      </w:r>
      <w:r w:rsidRPr="00D63C18">
        <w:rPr>
          <w:rFonts w:ascii="Times New Roman" w:hAnsi="Times New Roman"/>
          <w:color w:val="000000" w:themeColor="text1"/>
        </w:rPr>
        <w:t xml:space="preserve">with approval </w:t>
      </w:r>
      <w:r w:rsidR="00970A22">
        <w:rPr>
          <w:rFonts w:ascii="Times New Roman" w:hAnsi="Times New Roman"/>
          <w:color w:val="000000" w:themeColor="text1"/>
        </w:rPr>
        <w:t xml:space="preserve">the </w:t>
      </w:r>
      <w:r w:rsidRPr="00D63C18">
        <w:rPr>
          <w:rFonts w:ascii="Times New Roman" w:hAnsi="Times New Roman"/>
          <w:color w:val="000000" w:themeColor="text1"/>
        </w:rPr>
        <w:t xml:space="preserve">findings of Dwyer in Mt Alexander Shire vs VCGLR and Ors 2013 VCAT 101, who noted </w:t>
      </w:r>
      <w:r w:rsidR="00970A22">
        <w:rPr>
          <w:rFonts w:ascii="Times New Roman" w:hAnsi="Times New Roman"/>
          <w:color w:val="000000" w:themeColor="text1"/>
        </w:rPr>
        <w:t xml:space="preserve">that </w:t>
      </w:r>
      <w:r w:rsidRPr="00D63C18">
        <w:rPr>
          <w:rFonts w:ascii="Times New Roman" w:hAnsi="Times New Roman"/>
          <w:color w:val="000000" w:themeColor="text1"/>
        </w:rPr>
        <w:t>research findings that indicate:</w:t>
      </w:r>
      <w:r w:rsidRPr="00D63C18">
        <w:rPr>
          <w:rFonts w:ascii="Times New Roman" w:hAnsi="Times New Roman"/>
          <w:i/>
          <w:color w:val="000000" w:themeColor="text1"/>
        </w:rPr>
        <w:t xml:space="preserve"> </w:t>
      </w:r>
      <w:r w:rsidRPr="00D63C18">
        <w:rPr>
          <w:rFonts w:ascii="Times New Roman" w:hAnsi="Times New Roman"/>
          <w:color w:val="000000" w:themeColor="text1"/>
        </w:rPr>
        <w:t>0.5% to 1% of adults suffer significant gambling problems and 1.4%-2.1% moderate problems and Problem gambling may account for 41% of gaming expenditure and moderate-problem gambling for about 42-75% of gaming expenditure (para. 18)</w:t>
      </w:r>
      <w:r w:rsidRPr="00D63C18">
        <w:rPr>
          <w:rFonts w:ascii="Times New Roman" w:hAnsi="Times New Roman"/>
          <w:i/>
          <w:color w:val="000000" w:themeColor="text1"/>
        </w:rPr>
        <w:t xml:space="preserve"> </w:t>
      </w:r>
      <w:r w:rsidRPr="00D63C18">
        <w:rPr>
          <w:rFonts w:ascii="Times New Roman" w:hAnsi="Times New Roman"/>
          <w:sz w:val="18"/>
          <w:szCs w:val="18"/>
        </w:rPr>
        <w:t xml:space="preserve">(Sporting Legends Club v Wellington SC </w:t>
      </w:r>
      <w:r w:rsidR="0015534C">
        <w:rPr>
          <w:rFonts w:ascii="Times New Roman" w:hAnsi="Times New Roman"/>
          <w:sz w:val="18"/>
          <w:szCs w:val="18"/>
        </w:rPr>
        <w:t>2016).</w:t>
      </w:r>
    </w:p>
    <w:p w14:paraId="04B18FB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Sound evidence required about the extent of gambling problems associated with an </w:t>
      </w:r>
      <w:r w:rsidR="00D41242" w:rsidRPr="00603DF8">
        <w:rPr>
          <w:rFonts w:ascii="Times New Roman" w:hAnsi="Times New Roman" w:cs="Times New Roman"/>
          <w:i/>
          <w:color w:val="17365D" w:themeColor="text2" w:themeShade="BF"/>
        </w:rPr>
        <w:t>i</w:t>
      </w:r>
      <w:r w:rsidRPr="00603DF8">
        <w:rPr>
          <w:rFonts w:ascii="Times New Roman" w:hAnsi="Times New Roman" w:cs="Times New Roman"/>
          <w:i/>
          <w:color w:val="17365D" w:themeColor="text2" w:themeShade="BF"/>
        </w:rPr>
        <w:t>ncrease in new expenditure</w:t>
      </w:r>
    </w:p>
    <w:p w14:paraId="2AE39EED"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Regarding the quality of evidence, the Tribunal comments that “…lack of cogent and reliable evidence about the scope, nature and significant of problem gambling has been a feature of case after case in both the commission and the tribunal …” (para. 19)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954AC9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Harm from increased gaming losses may be aggravated by increased losses and density</w:t>
      </w:r>
    </w:p>
    <w:p w14:paraId="406E0A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that harm from the proposal may be aggravated by high EGM density in local suburbs and municipality, and by the high rate of losses at the venue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87CAE3" w14:textId="77777777" w:rsidR="00D63C18" w:rsidRPr="00D63C18" w:rsidRDefault="00D63C18" w:rsidP="00970A22">
      <w:pPr>
        <w:spacing w:before="60" w:line="312" w:lineRule="auto"/>
        <w:jc w:val="both"/>
        <w:rPr>
          <w:rFonts w:ascii="Times New Roman" w:hAnsi="Times New Roman" w:cs="Times New Roman"/>
        </w:rPr>
      </w:pPr>
      <w:r w:rsidRPr="00D63C18">
        <w:rPr>
          <w:rFonts w:ascii="Times New Roman" w:hAnsi="Times New Roman" w:cs="Times New Roman"/>
        </w:rPr>
        <w:t xml:space="preserve">Increasing local population means that the proposed increase in EGMs would not raise the density of gaming machines in the area (para. 28)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C7F4F10" w14:textId="77777777" w:rsidR="00D63C18" w:rsidRPr="00A32E55" w:rsidRDefault="00D63C18" w:rsidP="00D63C18">
      <w:pPr>
        <w:spacing w:line="312" w:lineRule="auto"/>
        <w:jc w:val="both"/>
        <w:rPr>
          <w:rFonts w:ascii="Times New Roman" w:hAnsi="Times New Roman" w:cs="Times New Roman"/>
          <w:sz w:val="18"/>
          <w:szCs w:val="18"/>
        </w:rPr>
      </w:pPr>
    </w:p>
    <w:p w14:paraId="6B09088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Socio-economic disadvantage aggravates gambling problems</w:t>
      </w:r>
    </w:p>
    <w:p w14:paraId="54991CA7"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 xml:space="preserve">The vulnerability of socioeconomically disadvantaged communities to gambling problems is acknowledged </w:t>
      </w:r>
      <w:r w:rsidR="00970A22">
        <w:rPr>
          <w:rFonts w:ascii="Times New Roman" w:hAnsi="Times New Roman" w:cs="Times New Roman"/>
          <w:color w:val="008000"/>
        </w:rPr>
        <w:t xml:space="preserve">by the Tribunal, </w:t>
      </w:r>
      <w:r w:rsidRPr="00D63C18">
        <w:rPr>
          <w:rFonts w:ascii="Times New Roman" w:hAnsi="Times New Roman" w:cs="Times New Roman"/>
          <w:color w:val="008000"/>
        </w:rPr>
        <w:t xml:space="preserve">with low incomes, overall disadvantage and social housing cited as factors associated with such vulnerability in some decisions, yet dismissed as irrelevant in others. A lack of thorough and persuasive evidence about this subject </w:t>
      </w:r>
      <w:r w:rsidR="00970A22">
        <w:rPr>
          <w:rFonts w:ascii="Times New Roman" w:hAnsi="Times New Roman" w:cs="Times New Roman"/>
          <w:color w:val="008000"/>
        </w:rPr>
        <w:t>appears to have</w:t>
      </w:r>
      <w:r w:rsidRPr="00D63C18">
        <w:rPr>
          <w:rFonts w:ascii="Times New Roman" w:hAnsi="Times New Roman" w:cs="Times New Roman"/>
          <w:color w:val="008000"/>
        </w:rPr>
        <w:t xml:space="preserve"> contributed to this conflicting and tentative understanding of gambling issues</w:t>
      </w:r>
      <w:r w:rsidR="00970A22">
        <w:rPr>
          <w:rFonts w:ascii="Times New Roman" w:hAnsi="Times New Roman" w:cs="Times New Roman"/>
          <w:color w:val="008000"/>
        </w:rPr>
        <w:t xml:space="preserve"> by the Tribunal</w:t>
      </w:r>
      <w:r w:rsidRPr="00D63C18">
        <w:rPr>
          <w:rFonts w:ascii="Times New Roman" w:hAnsi="Times New Roman" w:cs="Times New Roman"/>
          <w:color w:val="008000"/>
        </w:rPr>
        <w:t>.</w:t>
      </w:r>
    </w:p>
    <w:p w14:paraId="10ED0504"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Impact of gambling problems worse in disadvantaged communities</w:t>
      </w:r>
    </w:p>
    <w:p w14:paraId="6FE635D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Problem gambling has social</w:t>
      </w:r>
      <w:r w:rsidR="00970A22">
        <w:rPr>
          <w:rFonts w:ascii="Times New Roman" w:hAnsi="Times New Roman" w:cs="Times New Roman"/>
        </w:rPr>
        <w:t>,</w:t>
      </w:r>
      <w:r w:rsidRPr="00D63C18">
        <w:rPr>
          <w:rFonts w:ascii="Times New Roman" w:hAnsi="Times New Roman" w:cs="Times New Roman"/>
        </w:rPr>
        <w:t xml:space="preserve"> financial and economic impacts and it has “greater impact in areas of socioeconomic disadvantage” (para. 61)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ABFBE0" w14:textId="77777777" w:rsidR="00D63C18" w:rsidRPr="00D63C18" w:rsidRDefault="00970A22" w:rsidP="00D63C18">
      <w:pPr>
        <w:spacing w:after="60" w:line="312" w:lineRule="auto"/>
        <w:jc w:val="both"/>
        <w:rPr>
          <w:rFonts w:ascii="Times New Roman" w:hAnsi="Times New Roman" w:cs="Times New Roman"/>
        </w:rPr>
      </w:pPr>
      <w:r>
        <w:rPr>
          <w:rFonts w:ascii="Times New Roman" w:hAnsi="Times New Roman" w:cs="Times New Roman"/>
        </w:rPr>
        <w:t xml:space="preserve">The Tribunal observes that, </w:t>
      </w:r>
      <w:r w:rsidR="00D63C18" w:rsidRPr="00D63C18">
        <w:rPr>
          <w:rFonts w:ascii="Times New Roman" w:hAnsi="Times New Roman" w:cs="Times New Roman"/>
        </w:rPr>
        <w:t>“..</w:t>
      </w:r>
      <w:r w:rsidR="0021737F" w:rsidRPr="00D63C18">
        <w:rPr>
          <w:rFonts w:ascii="Times New Roman" w:hAnsi="Times New Roman" w:cs="Times New Roman"/>
        </w:rPr>
        <w:t>although problem gambling can affect all categories of people in our society, its impact is most strongly felt by communities with lower socioeconomic characteristics (para. 135</w:t>
      </w:r>
      <w:r w:rsidR="0021737F">
        <w:rPr>
          <w:rFonts w:ascii="Times New Roman" w:hAnsi="Times New Roman" w:cs="Times New Roman"/>
        </w:rPr>
        <w:t>), adding that l</w:t>
      </w:r>
      <w:r w:rsidR="0021737F" w:rsidRPr="00D63C18">
        <w:rPr>
          <w:rFonts w:ascii="Times New Roman" w:hAnsi="Times New Roman" w:cs="Times New Roman"/>
        </w:rPr>
        <w:t>ower socio-economic areas are more inclined to gamble (para. 141)</w:t>
      </w:r>
      <w:r w:rsidR="0021737F">
        <w:rPr>
          <w:rFonts w:ascii="Times New Roman" w:hAnsi="Times New Roman" w:cs="Times New Roman"/>
          <w:i/>
        </w:rPr>
        <w:t xml:space="preserve"> </w:t>
      </w:r>
      <w:r w:rsidR="0021737F" w:rsidRPr="00D63C18">
        <w:rPr>
          <w:rFonts w:ascii="Times New Roman" w:hAnsi="Times New Roman" w:cs="Times New Roman"/>
          <w:sz w:val="18"/>
          <w:szCs w:val="18"/>
        </w:rPr>
        <w:t xml:space="preserve">(ALH Group v Whittlesea CC </w:t>
      </w:r>
      <w:r w:rsidR="0021737F">
        <w:rPr>
          <w:rFonts w:ascii="Times New Roman" w:hAnsi="Times New Roman" w:cs="Times New Roman"/>
          <w:sz w:val="18"/>
          <w:szCs w:val="18"/>
        </w:rPr>
        <w:t>2017).</w:t>
      </w:r>
    </w:p>
    <w:p w14:paraId="79EAB5EF"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ccepts that the suburb where the venue is situated is disadvantaged, </w:t>
      </w:r>
      <w:r w:rsidR="00970A22">
        <w:rPr>
          <w:rFonts w:ascii="Times New Roman" w:hAnsi="Times New Roman" w:cs="Times New Roman"/>
        </w:rPr>
        <w:t>remarking</w:t>
      </w:r>
      <w:r w:rsidR="00D63C18" w:rsidRPr="00D63C18">
        <w:rPr>
          <w:rFonts w:ascii="Times New Roman" w:hAnsi="Times New Roman" w:cs="Times New Roman"/>
        </w:rPr>
        <w:t xml:space="preserve"> that “people on low incomes are not more likely to be problem gamblers, but if they are, they and their families will suffer more harm” (para. 101)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5291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People in disadvantaged areas are not more likely to be problem gamblers, “..it is that they are their families are more seriously affected by problem gambling when it does occur” (para. 68)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46B3288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Low socioeconomic conditions in the area around the venue and municipality as a whole indicates that the community “has a low level of resilience to even modest number of additional EGMs”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2276B75"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Significant weight is ascribed to the prospect that the addition of 6 EGMs may aggravate problem gambling, the Tribunal stating that: “We accept that council has provided us with convincing information (corroborated by the findings of the commission ) that the level of usage of EGMs in this Shire is near its cap and that this shire has an existing level of social disadvantage which is at the high end of the applicable range. While acknowledging that merely six extra EGMs are proposed we find that the existing heavy utilisation of EGMs in this substantially disadvantaged/more vulnerable municipal community creates a more acute risk of additional problem gambling and associated social harm. We are unsatisfied that there is any reliable evidence that this risk [of a small rise in EGMs in a disadvantaged locality]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5257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Inversely, gambling </w:t>
      </w:r>
      <w:r w:rsidR="00970A22" w:rsidRPr="00603DF8">
        <w:rPr>
          <w:rFonts w:ascii="Times New Roman" w:hAnsi="Times New Roman" w:cs="Times New Roman"/>
          <w:i/>
          <w:color w:val="17365D" w:themeColor="text2" w:themeShade="BF"/>
        </w:rPr>
        <w:t xml:space="preserve">is held to exert a </w:t>
      </w:r>
      <w:r w:rsidRPr="00603DF8">
        <w:rPr>
          <w:rFonts w:ascii="Times New Roman" w:hAnsi="Times New Roman" w:cs="Times New Roman"/>
          <w:i/>
          <w:color w:val="17365D" w:themeColor="text2" w:themeShade="BF"/>
        </w:rPr>
        <w:t>lesser impact in affluent areas</w:t>
      </w:r>
    </w:p>
    <w:p w14:paraId="7AE8F8E0"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Tribunal remarks on the relative affluence of location</w:t>
      </w:r>
      <w:r w:rsidR="00970A22">
        <w:rPr>
          <w:rFonts w:ascii="Times New Roman" w:hAnsi="Times New Roman" w:cs="Times New Roman"/>
        </w:rPr>
        <w:t>,</w:t>
      </w:r>
      <w:r w:rsidRPr="00D63C18">
        <w:rPr>
          <w:rFonts w:ascii="Times New Roman" w:hAnsi="Times New Roman" w:cs="Times New Roman"/>
        </w:rPr>
        <w:t xml:space="preserve"> resulting in resilience to gambling problems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A09B0A" w14:textId="77777777" w:rsidR="00D63C18" w:rsidRPr="00D63C18" w:rsidRDefault="00D63C18" w:rsidP="00D63C18">
      <w:pPr>
        <w:spacing w:line="312" w:lineRule="auto"/>
        <w:jc w:val="both"/>
        <w:rPr>
          <w:rFonts w:ascii="Times New Roman" w:hAnsi="Times New Roman" w:cs="Times New Roman"/>
        </w:rPr>
      </w:pPr>
    </w:p>
    <w:p w14:paraId="6A68BD9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Types of disadvantage associated with gambling problems</w:t>
      </w:r>
    </w:p>
    <w:p w14:paraId="4F3E972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Social housing</w:t>
      </w:r>
    </w:p>
    <w:p w14:paraId="2F39CE0C" w14:textId="77777777" w:rsidR="00D63C18" w:rsidRP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The Tribunal notes favourably that there is no social housing nearby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7A26724"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comments that the venue is not near social housing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C5BC68B" w14:textId="77777777" w:rsidR="00970A22" w:rsidRDefault="00970A22" w:rsidP="00D41242">
      <w:pPr>
        <w:spacing w:after="60" w:line="312" w:lineRule="auto"/>
        <w:jc w:val="both"/>
        <w:rPr>
          <w:rFonts w:ascii="Times New Roman" w:hAnsi="Times New Roman" w:cs="Times New Roman"/>
        </w:rPr>
      </w:pPr>
      <w:r>
        <w:rPr>
          <w:rFonts w:ascii="Times New Roman" w:hAnsi="Times New Roman" w:cs="Times New Roman"/>
        </w:rPr>
        <w:t>But…</w:t>
      </w:r>
    </w:p>
    <w:p w14:paraId="37DC7CA4"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concedes that evidence shows the proportion of social housing in the local suburb and municipality is high, but argues that no evidence was presented to show that this increases risk and conclude</w:t>
      </w:r>
      <w:r w:rsidR="00D41242">
        <w:rPr>
          <w:rFonts w:ascii="Times New Roman" w:hAnsi="Times New Roman" w:cs="Times New Roman"/>
        </w:rPr>
        <w:t>s</w:t>
      </w:r>
      <w:r w:rsidRPr="00D63C18">
        <w:rPr>
          <w:rFonts w:ascii="Times New Roman" w:hAnsi="Times New Roman" w:cs="Times New Roman"/>
        </w:rPr>
        <w:t xml:space="preserve"> that the real issue was income, which is associated with risk of problem gambling (para. 74-75) </w:t>
      </w:r>
      <w:r w:rsidRPr="00D63C18">
        <w:rPr>
          <w:rFonts w:ascii="Times New Roman" w:hAnsi="Times New Roman" w:cs="Times New Roman"/>
          <w:i/>
        </w:rPr>
        <w:t>(</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A677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Low incomes</w:t>
      </w:r>
    </w:p>
    <w:p w14:paraId="2D47D2A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accepts that the suburb where the venue is situated is disadvantaged, adding that “people on low incomes are not more likely to be problem gamblers, but if they are, they and their families will suffer more harm” (para. 101)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768F383" w14:textId="77777777" w:rsidR="00D63C18" w:rsidRPr="00D63C18" w:rsidRDefault="00D63C18" w:rsidP="00D63C18">
      <w:pPr>
        <w:spacing w:before="60" w:after="60" w:line="312" w:lineRule="auto"/>
        <w:jc w:val="both"/>
        <w:rPr>
          <w:rFonts w:ascii="Times New Roman" w:hAnsi="Times New Roman" w:cs="Times New Roman"/>
        </w:rPr>
      </w:pPr>
      <w:r w:rsidRPr="00D63C18">
        <w:rPr>
          <w:rFonts w:ascii="Times New Roman" w:hAnsi="Times New Roman" w:cs="Times New Roman"/>
        </w:rPr>
        <w:t>But…</w:t>
      </w:r>
    </w:p>
    <w:p w14:paraId="5052ADD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agrees with the Pink Hill Hotel decision that income has little relationship to gambling problems</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EE34B33" w14:textId="77777777" w:rsidR="00A32E55" w:rsidRPr="00603DF8" w:rsidRDefault="00A32E55" w:rsidP="00A32E55">
      <w:pPr>
        <w:spacing w:before="180" w:after="20" w:line="312" w:lineRule="auto"/>
        <w:jc w:val="both"/>
        <w:rPr>
          <w:rFonts w:ascii="Times New Roman" w:hAnsi="Times New Roman" w:cs="Times New Roman"/>
          <w:i/>
          <w:color w:val="17365D" w:themeColor="text2" w:themeShade="BF"/>
        </w:rPr>
      </w:pPr>
      <w:r>
        <w:rPr>
          <w:rFonts w:ascii="Times New Roman" w:hAnsi="Times New Roman" w:cs="Times New Roman"/>
          <w:i/>
          <w:color w:val="17365D" w:themeColor="text2" w:themeShade="BF"/>
        </w:rPr>
        <w:t>Unemployment</w:t>
      </w:r>
    </w:p>
    <w:p w14:paraId="40C8AB4F" w14:textId="77777777" w:rsidR="00A32E55" w:rsidRDefault="00A32E55" w:rsidP="00A32E55">
      <w:pPr>
        <w:spacing w:line="312" w:lineRule="auto"/>
        <w:jc w:val="both"/>
        <w:rPr>
          <w:rFonts w:ascii="Times New Roman" w:hAnsi="Times New Roman" w:cs="Times New Roman"/>
          <w:sz w:val="18"/>
          <w:szCs w:val="18"/>
        </w:rPr>
      </w:pPr>
      <w:r>
        <w:rPr>
          <w:rFonts w:ascii="Times New Roman" w:hAnsi="Times New Roman" w:cs="Times New Roman"/>
        </w:rPr>
        <w:t xml:space="preserve">Reviewing an application in Langwarrin, the Tribunal remarks with favour, that local unemployment levels are lower than the metropolitan or state level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6D60CFF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Overall disadvantage – the SEIFA Index</w:t>
      </w:r>
    </w:p>
    <w:p w14:paraId="3617F208" w14:textId="77777777" w:rsidR="00A32E55" w:rsidRDefault="00A9677F" w:rsidP="00D63C18">
      <w:pPr>
        <w:spacing w:after="60" w:line="312" w:lineRule="auto"/>
        <w:jc w:val="both"/>
        <w:rPr>
          <w:rFonts w:ascii="Times New Roman" w:hAnsi="Times New Roman" w:cs="Times New Roman"/>
          <w:sz w:val="18"/>
          <w:szCs w:val="18"/>
        </w:rPr>
      </w:pPr>
      <w:r>
        <w:rPr>
          <w:rFonts w:ascii="Times New Roman" w:hAnsi="Times New Roman" w:cs="Times New Roman"/>
        </w:rPr>
        <w:t xml:space="preserve">The fact that the subject venue is situated in a locality with a low level of socioeconomic disadvantage according to the SIEFA Index, is counted in favour of the application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4FACDD9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with endorsement, the applicant’s claims that local disadvantage is not as grievous as SEIFA suggests</w:t>
      </w:r>
      <w:r w:rsidR="00970A22">
        <w:rPr>
          <w:rFonts w:ascii="Times New Roman" w:hAnsi="Times New Roman" w:cs="Times New Roman"/>
        </w:rPr>
        <w:t>,</w:t>
      </w:r>
      <w:r w:rsidRPr="00D63C18">
        <w:rPr>
          <w:rFonts w:ascii="Times New Roman" w:hAnsi="Times New Roman" w:cs="Times New Roman"/>
        </w:rPr>
        <w:t xml:space="preserve"> as local residents are largely an older population who while on lower incomes, have a solid asset base and are less susceptible to problem gambling than others, and many of them would not have been counted in the Census (para. 51) [ source given: Problem Gambling from a Public Health Perspective, 2009: 84]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BCFA83" w14:textId="77777777" w:rsid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discounts the relevance of SEIFA Index to a community’s susceptibility to problem gambling because incomes are a key component of SEIFA and</w:t>
      </w:r>
      <w:r w:rsidR="00970A22">
        <w:rPr>
          <w:rFonts w:ascii="Times New Roman" w:hAnsi="Times New Roman" w:cs="Times New Roman"/>
        </w:rPr>
        <w:t xml:space="preserve"> the</w:t>
      </w:r>
      <w:r w:rsidRPr="00D63C18">
        <w:rPr>
          <w:rFonts w:ascii="Times New Roman" w:hAnsi="Times New Roman" w:cs="Times New Roman"/>
        </w:rPr>
        <w:t xml:space="preserve"> link between income and problem gambling is “doubtful” and “not settled” (para. 44)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DE35094" w14:textId="77777777" w:rsidR="00D63C18" w:rsidRPr="00D63C18" w:rsidRDefault="00D63C18" w:rsidP="00D63C18">
      <w:pPr>
        <w:spacing w:line="312" w:lineRule="auto"/>
        <w:jc w:val="both"/>
        <w:rPr>
          <w:rFonts w:ascii="Times New Roman" w:hAnsi="Times New Roman" w:cs="Times New Roman"/>
          <w:sz w:val="12"/>
          <w:szCs w:val="12"/>
        </w:rPr>
      </w:pPr>
    </w:p>
    <w:p w14:paraId="0497013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concerns</w:t>
      </w:r>
    </w:p>
    <w:p w14:paraId="3015EDA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While the Tribunal acknowledges the importance of public apprehensions about gambling, efforts to document the prevalence of such concerns are generally dismissed as reflections of popular misgivings about gaming in general – rather than </w:t>
      </w:r>
      <w:r w:rsidR="00970A22">
        <w:rPr>
          <w:rFonts w:ascii="Times New Roman" w:hAnsi="Times New Roman" w:cs="Times New Roman"/>
          <w:color w:val="008000"/>
        </w:rPr>
        <w:t>any disquiet</w:t>
      </w:r>
      <w:r w:rsidRPr="00D63C18">
        <w:rPr>
          <w:rFonts w:ascii="Times New Roman" w:hAnsi="Times New Roman" w:cs="Times New Roman"/>
          <w:color w:val="008000"/>
        </w:rPr>
        <w:t xml:space="preserve"> about the features of a particular application.</w:t>
      </w:r>
    </w:p>
    <w:p w14:paraId="544AD74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Community concerns are of relevance</w:t>
      </w:r>
      <w:r w:rsidR="00970A22" w:rsidRPr="00603DF8">
        <w:rPr>
          <w:rFonts w:ascii="Times New Roman" w:hAnsi="Times New Roman" w:cs="Times New Roman"/>
          <w:i/>
          <w:color w:val="17365D" w:themeColor="text2" w:themeShade="BF"/>
        </w:rPr>
        <w:t>, in principle</w:t>
      </w:r>
    </w:p>
    <w:p w14:paraId="56311D00"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Evidence about “the views of the particular affected community…are relevant to a decision” (para. 13)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3265E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Impact on the community can involve “…consideration of the impact upon a relevant part of the community”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697C7E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To some extent, community opposition to an application is reflected by the fact that council “as the representative body of the relevant community” (para. 145) has made a submission and appeared before the Commission.</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680CD833" w14:textId="77777777" w:rsidR="00D63C18" w:rsidRPr="00D63C18" w:rsidRDefault="00D63C18" w:rsidP="00D63C18">
      <w:pPr>
        <w:spacing w:before="120" w:after="60" w:line="312" w:lineRule="auto"/>
        <w:jc w:val="both"/>
        <w:rPr>
          <w:rFonts w:ascii="Times New Roman" w:hAnsi="Times New Roman" w:cs="Times New Roman"/>
          <w:i/>
        </w:rPr>
      </w:pPr>
      <w:r w:rsidRPr="00D63C18">
        <w:rPr>
          <w:rFonts w:ascii="Times New Roman" w:hAnsi="Times New Roman" w:cs="Times New Roman"/>
          <w:i/>
        </w:rPr>
        <w:t>General opposition to gambling not given weight</w:t>
      </w:r>
    </w:p>
    <w:p w14:paraId="4FCEFA1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findings of a council survey which found that most respondents opposed the addition of EGMs, noting that “this situation is consistent it the typical results of equivalent State-wide or national survey data”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25DFF5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dismisses the result of a survey since it largely determined only that most people are concerned about gambling in general in our community, and secondly, because “…this type of review hearing is not meant to constitute a community referendum on gaming…” (para. 74)</w:t>
      </w:r>
      <w:r w:rsidR="00E43F9F">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1A113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community survey is discounted as it merely show</w:t>
      </w:r>
      <w:r w:rsidR="00D41242">
        <w:rPr>
          <w:rFonts w:ascii="Times New Roman" w:hAnsi="Times New Roman" w:cs="Times New Roman"/>
        </w:rPr>
        <w:t>s</w:t>
      </w:r>
      <w:r w:rsidRPr="00D63C18">
        <w:rPr>
          <w:rFonts w:ascii="Times New Roman" w:hAnsi="Times New Roman" w:cs="Times New Roman"/>
        </w:rPr>
        <w:t xml:space="preserve"> that many people are concerned about gaming – </w:t>
      </w:r>
      <w:r w:rsidR="00970A22">
        <w:rPr>
          <w:rFonts w:ascii="Times New Roman" w:hAnsi="Times New Roman" w:cs="Times New Roman"/>
        </w:rPr>
        <w:t>“</w:t>
      </w:r>
      <w:r w:rsidRPr="00D63C18">
        <w:rPr>
          <w:rFonts w:ascii="Times New Roman" w:hAnsi="Times New Roman" w:cs="Times New Roman"/>
        </w:rPr>
        <w:t>which is already established by state-wide data</w:t>
      </w:r>
      <w:r w:rsidR="00970A22">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32132593"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Community sentiment is important, but hearings are not </w:t>
      </w:r>
      <w:r w:rsidR="00970A22">
        <w:rPr>
          <w:rFonts w:ascii="Times New Roman" w:hAnsi="Times New Roman" w:cs="Times New Roman"/>
        </w:rPr>
        <w:t>“</w:t>
      </w:r>
      <w:r w:rsidRPr="00D63C18">
        <w:rPr>
          <w:rFonts w:ascii="Times New Roman" w:hAnsi="Times New Roman" w:cs="Times New Roman"/>
        </w:rPr>
        <w:t>popularity contests</w:t>
      </w:r>
      <w:r w:rsidR="00970A22">
        <w:rPr>
          <w:rFonts w:ascii="Times New Roman" w:hAnsi="Times New Roman" w:cs="Times New Roman"/>
        </w:rPr>
        <w:t>”</w:t>
      </w:r>
      <w:r w:rsidRPr="00D63C18">
        <w:rPr>
          <w:rFonts w:ascii="Times New Roman" w:hAnsi="Times New Roman" w:cs="Times New Roman"/>
        </w:rPr>
        <w:t xml:space="preserve"> (para. 38) and one cannot give "great weight to very generalised opposition to the use or installation of gaming machines…” (para. 40)</w:t>
      </w:r>
      <w:r w:rsidRPr="00D63C18">
        <w:rPr>
          <w:rFonts w:ascii="Times New Roman" w:hAnsi="Times New Roman" w:cs="Times New Roman"/>
          <w:i/>
        </w:rPr>
        <w:t xml:space="preserve">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2395540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notes that a council survey found many residents object to</w:t>
      </w:r>
      <w:r w:rsidR="00970A22">
        <w:rPr>
          <w:rFonts w:ascii="Times New Roman" w:hAnsi="Times New Roman" w:cs="Times New Roman"/>
        </w:rPr>
        <w:t xml:space="preserve"> the</w:t>
      </w:r>
      <w:r w:rsidRPr="00D63C18">
        <w:rPr>
          <w:rFonts w:ascii="Times New Roman" w:hAnsi="Times New Roman" w:cs="Times New Roman"/>
        </w:rPr>
        <w:t xml:space="preserve"> proposal but adds that they did not consider it a threat to their own wellbeing, expressing concern for the welfare of others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2C5E318"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Methodological limitations may discount survey findings</w:t>
      </w:r>
    </w:p>
    <w:p w14:paraId="6CA5D2ED" w14:textId="77777777" w:rsidR="00D63C18" w:rsidRPr="00D63C18" w:rsidRDefault="00D63C18" w:rsidP="00D63C18">
      <w:pPr>
        <w:spacing w:line="312" w:lineRule="auto"/>
        <w:jc w:val="both"/>
        <w:rPr>
          <w:rFonts w:ascii="Times New Roman" w:hAnsi="Times New Roman" w:cs="Times New Roman"/>
          <w:i/>
          <w:color w:val="000000" w:themeColor="text1"/>
        </w:rPr>
      </w:pPr>
      <w:r w:rsidRPr="00D63C18">
        <w:rPr>
          <w:rFonts w:ascii="Times New Roman" w:hAnsi="Times New Roman" w:cs="Times New Roman"/>
        </w:rPr>
        <w:t>The Tribunal</w:t>
      </w:r>
      <w:r w:rsidRPr="00D63C18">
        <w:rPr>
          <w:rFonts w:ascii="Times New Roman" w:hAnsi="Times New Roman" w:cs="Times New Roman"/>
          <w:color w:val="000000" w:themeColor="text1"/>
        </w:rPr>
        <w:t xml:space="preserve"> disparages a council-sponsored survey as a </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simple survey monkey survey</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 xml:space="preserve"> with “no attempts made to ensure that the result was representative of the population generally” (para. 89)</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one that</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 xml:space="preserve">only attracted 103 responses, “…which does not demonstrate substantial community opposition </w:t>
      </w:r>
      <w:r w:rsidR="00970A22">
        <w:rPr>
          <w:rFonts w:ascii="Times New Roman" w:hAnsi="Times New Roman" w:cs="Times New Roman"/>
          <w:color w:val="000000" w:themeColor="text1"/>
        </w:rPr>
        <w:t xml:space="preserve">to the application” (para. 90)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99CBAE"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1727962C"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OTHER ISSUES</w:t>
      </w:r>
    </w:p>
    <w:p w14:paraId="64B8E628"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Council policies and plans</w:t>
      </w:r>
    </w:p>
    <w:p w14:paraId="2462740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In response to a council’s claims that its gaming policy which was recently incorporated into its planning scheme, should be given special weight, the Tribunal observes that “There is no difference in substance between the Council’s policy before the commission and the policy not before us that is included in the scheme” (para. 19)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700944A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Throughout a decision, the Tribunal refers to council’s gambling-related local planning policies, such as clauses to discourage EGMs in areas where concentration exceeds metropolitan average, in core areas of activity centres, within 800 m. of sensitive land uses and in destination venues. (para. 48-70)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2E9B5891"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ascribes weight to the fact that the council precinct plan provided for development of this hotel including its gambling functions (para. 23)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8A17870" w14:textId="77777777" w:rsidR="00D63C18" w:rsidRPr="00D63C18" w:rsidRDefault="00D63C18" w:rsidP="00D63C18">
      <w:pPr>
        <w:spacing w:after="60" w:line="312" w:lineRule="auto"/>
        <w:jc w:val="both"/>
        <w:rPr>
          <w:rFonts w:ascii="Times New Roman" w:hAnsi="Times New Roman" w:cs="Times New Roman"/>
          <w:i/>
          <w:color w:val="000000" w:themeColor="text1"/>
        </w:rPr>
      </w:pPr>
      <w:r w:rsidRPr="00D63C18">
        <w:rPr>
          <w:rFonts w:ascii="Times New Roman" w:hAnsi="Times New Roman" w:cs="Times New Roman"/>
        </w:rPr>
        <w:t xml:space="preserve">The Tribunal favours </w:t>
      </w:r>
      <w:r w:rsidRPr="00D63C18">
        <w:rPr>
          <w:rFonts w:ascii="Times New Roman" w:hAnsi="Times New Roman" w:cs="Times New Roman"/>
          <w:color w:val="000000" w:themeColor="text1"/>
        </w:rPr>
        <w:t xml:space="preserve">the fact that the benefit of improved facilities is recognised under the Council planning scheme (para. 89)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596184A" w14:textId="77777777" w:rsidR="00D63C18" w:rsidRPr="00D63C18" w:rsidRDefault="00D63C18" w:rsidP="00D63C18">
      <w:pPr>
        <w:spacing w:line="312" w:lineRule="auto"/>
        <w:jc w:val="both"/>
        <w:rPr>
          <w:rFonts w:ascii="Times New Roman" w:hAnsi="Times New Roman" w:cs="Times New Roman"/>
          <w:i/>
          <w:color w:val="000000" w:themeColor="text1"/>
          <w:sz w:val="18"/>
          <w:szCs w:val="18"/>
        </w:rPr>
      </w:pPr>
    </w:p>
    <w:p w14:paraId="6A2E79D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Backfill</w:t>
      </w:r>
    </w:p>
    <w:p w14:paraId="140423D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addresses the issue of ‘backfilling’, where EGMs are installed at a venue where number of attached entitlements is less than the number of EGMs approved in that venue (para. 85) [thereby allowing the relatively few EGMs which may be installed in a capped area before the cap is reached, to be installed in a venue without a hearing before the VCGLR]. The Tribunal gives ‘some weight’ to the idea that EGMs could be installed in a couple of local hotels ‘without consideration’ of the net social and economic benefits (para. 129)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Pr="00D63C18">
        <w:rPr>
          <w:rFonts w:ascii="Times New Roman" w:hAnsi="Times New Roman" w:cs="Times New Roman"/>
          <w:sz w:val="18"/>
          <w:szCs w:val="18"/>
        </w:rPr>
        <w:t xml:space="preserve"> </w:t>
      </w:r>
      <w:r w:rsidRPr="00D63C18">
        <w:rPr>
          <w:rFonts w:ascii="Times New Roman" w:hAnsi="Times New Roman" w:cs="Times New Roman"/>
        </w:rPr>
        <w:t>[Such an outcome, the applicant had argued, would be less preferable than installing the machines in its venue]</w:t>
      </w:r>
    </w:p>
    <w:p w14:paraId="7DDFAB92" w14:textId="77777777" w:rsidR="00D63C18" w:rsidRPr="00D63C18" w:rsidRDefault="00D63C18" w:rsidP="00D63C18">
      <w:pPr>
        <w:spacing w:line="312" w:lineRule="auto"/>
        <w:jc w:val="both"/>
        <w:rPr>
          <w:rFonts w:ascii="Times New Roman" w:hAnsi="Times New Roman" w:cs="Times New Roman"/>
          <w:sz w:val="18"/>
          <w:szCs w:val="18"/>
        </w:rPr>
      </w:pPr>
    </w:p>
    <w:p w14:paraId="08C5F04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gambling expenditure and local retail activity</w:t>
      </w:r>
    </w:p>
    <w:p w14:paraId="2C9FD7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While increased gaming expenditure will divert expenditure from local retail establishments, the effect would be so widely dispersed that no single business will suffer greatly (para. 120)</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B2A2896" w14:textId="77777777" w:rsidR="00D63C18" w:rsidRPr="00D63C18" w:rsidRDefault="00D63C18" w:rsidP="00D63C18">
      <w:pPr>
        <w:spacing w:line="312" w:lineRule="auto"/>
        <w:jc w:val="both"/>
        <w:rPr>
          <w:rFonts w:ascii="Times New Roman" w:hAnsi="Times New Roman" w:cs="Times New Roman"/>
          <w:sz w:val="18"/>
          <w:szCs w:val="18"/>
        </w:rPr>
      </w:pPr>
    </w:p>
    <w:p w14:paraId="6B63C56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Limited benefit of funds flowing to </w:t>
      </w:r>
      <w:r w:rsidR="000E6D7C">
        <w:rPr>
          <w:rFonts w:ascii="Times New Roman" w:hAnsi="Times New Roman" w:cs="Times New Roman"/>
          <w:b/>
          <w:color w:val="17365D" w:themeColor="text2" w:themeShade="BF"/>
        </w:rPr>
        <w:t xml:space="preserve">the </w:t>
      </w:r>
      <w:r w:rsidRPr="00D63C18">
        <w:rPr>
          <w:rFonts w:ascii="Times New Roman" w:hAnsi="Times New Roman" w:cs="Times New Roman"/>
          <w:b/>
          <w:color w:val="17365D" w:themeColor="text2" w:themeShade="BF"/>
        </w:rPr>
        <w:t>government</w:t>
      </w:r>
    </w:p>
    <w:p w14:paraId="6D98E21F"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Fund</w:t>
      </w:r>
      <w:r w:rsidR="00D41242">
        <w:rPr>
          <w:rFonts w:ascii="Times New Roman" w:hAnsi="Times New Roman" w:cs="Times New Roman"/>
        </w:rPr>
        <w:t xml:space="preserve">s flowing to the government offer little benefit </w:t>
      </w:r>
      <w:r w:rsidRPr="00D63C18">
        <w:rPr>
          <w:rFonts w:ascii="Times New Roman" w:hAnsi="Times New Roman" w:cs="Times New Roman"/>
        </w:rPr>
        <w:t>since it is unclear how much will return to the same community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D27BA12" w14:textId="77777777" w:rsidR="00D63C18" w:rsidRPr="00D63C18" w:rsidRDefault="00D63C18" w:rsidP="00D63C18">
      <w:pPr>
        <w:spacing w:line="312" w:lineRule="auto"/>
        <w:jc w:val="both"/>
        <w:rPr>
          <w:rFonts w:ascii="Times New Roman" w:hAnsi="Times New Roman" w:cs="Times New Roman"/>
          <w:sz w:val="18"/>
          <w:szCs w:val="18"/>
        </w:rPr>
      </w:pPr>
    </w:p>
    <w:p w14:paraId="181A134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Gambling problems and local services</w:t>
      </w:r>
    </w:p>
    <w:p w14:paraId="3B62D40D" w14:textId="77777777" w:rsidR="00D63C18" w:rsidRPr="00D63C18" w:rsidRDefault="0021737F" w:rsidP="00D63C18">
      <w:pPr>
        <w:spacing w:line="312" w:lineRule="auto"/>
        <w:jc w:val="both"/>
        <w:rPr>
          <w:rFonts w:ascii="Times New Roman" w:hAnsi="Times New Roman" w:cs="Times New Roman"/>
        </w:rPr>
      </w:pPr>
      <w:r w:rsidRPr="00D63C18">
        <w:rPr>
          <w:rFonts w:ascii="Times New Roman" w:hAnsi="Times New Roman" w:cs="Times New Roman"/>
        </w:rPr>
        <w:t xml:space="preserve">While local support agencies </w:t>
      </w:r>
      <w:r>
        <w:rPr>
          <w:rFonts w:ascii="Times New Roman" w:hAnsi="Times New Roman" w:cs="Times New Roman"/>
        </w:rPr>
        <w:t xml:space="preserve">have </w:t>
      </w:r>
      <w:r w:rsidRPr="00D63C18">
        <w:rPr>
          <w:rFonts w:ascii="Times New Roman" w:hAnsi="Times New Roman" w:cs="Times New Roman"/>
        </w:rPr>
        <w:t xml:space="preserve">cautioned that the application would increase demand for their services, there is no evidence that they could not cope, </w:t>
      </w:r>
      <w:r>
        <w:rPr>
          <w:rFonts w:ascii="Times New Roman" w:hAnsi="Times New Roman" w:cs="Times New Roman"/>
        </w:rPr>
        <w:t>with the result that this consideration is accorded</w:t>
      </w:r>
      <w:r w:rsidRPr="00D63C18">
        <w:rPr>
          <w:rFonts w:ascii="Times New Roman" w:hAnsi="Times New Roman" w:cs="Times New Roman"/>
        </w:rPr>
        <w:t xml:space="preserve"> low weight.</w:t>
      </w:r>
      <w:r>
        <w:rPr>
          <w:rFonts w:ascii="Times New Roman" w:hAnsi="Times New Roman" w:cs="Times New Roman"/>
        </w:rPr>
        <w:t xml:space="preserve"> </w:t>
      </w:r>
      <w:r w:rsidRPr="00D63C18">
        <w:rPr>
          <w:rFonts w:ascii="Times New Roman" w:hAnsi="Times New Roman" w:cs="Times New Roman"/>
        </w:rPr>
        <w:t>(para. 126)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Pr>
          <w:rFonts w:ascii="Times New Roman" w:hAnsi="Times New Roman" w:cs="Times New Roman"/>
          <w:sz w:val="18"/>
          <w:szCs w:val="18"/>
        </w:rPr>
        <w:t>2017).</w:t>
      </w:r>
    </w:p>
    <w:p w14:paraId="596DCC37" w14:textId="77777777" w:rsidR="00D63C18" w:rsidRPr="00D63C18" w:rsidRDefault="00D63C18" w:rsidP="00D63C18">
      <w:pPr>
        <w:spacing w:line="312" w:lineRule="auto"/>
        <w:jc w:val="both"/>
        <w:rPr>
          <w:rFonts w:ascii="Times New Roman" w:hAnsi="Times New Roman" w:cs="Times New Roman"/>
          <w:sz w:val="18"/>
          <w:szCs w:val="18"/>
        </w:rPr>
      </w:pPr>
    </w:p>
    <w:p w14:paraId="64403D7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Diversion of expenditure from other goods</w:t>
      </w:r>
    </w:p>
    <w:p w14:paraId="0F83A048" w14:textId="77777777" w:rsidR="004B460F"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Increased expenditure on EGMs by problem gamblers may act as an economic liability by diverting expenditure from other goods and services – an effect magnified in an area of disadvantage. The Tribunal adds through, that the level of economic detriment is “difficult to quantify”, noting that “there was no expert evidence” (para. 68)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7A8A2A7" w14:textId="77777777" w:rsidR="00903715" w:rsidRDefault="00903715">
      <w:pPr>
        <w:rPr>
          <w:rFonts w:ascii="Times New Roman" w:hAnsi="Times New Roman" w:cs="Times New Roman"/>
          <w:sz w:val="18"/>
          <w:szCs w:val="18"/>
        </w:rPr>
      </w:pPr>
      <w:r>
        <w:rPr>
          <w:rFonts w:ascii="Times New Roman" w:hAnsi="Times New Roman" w:cs="Times New Roman"/>
          <w:sz w:val="18"/>
          <w:szCs w:val="18"/>
        </w:rPr>
        <w:br w:type="page"/>
      </w:r>
    </w:p>
    <w:p w14:paraId="2B74B8DC" w14:textId="77777777" w:rsidR="00903715" w:rsidRPr="00903715" w:rsidRDefault="00903715" w:rsidP="00903715">
      <w:pPr>
        <w:jc w:val="center"/>
        <w:rPr>
          <w:rFonts w:ascii="Times New Roman" w:hAnsi="Times New Roman" w:cs="Times New Roman"/>
          <w:sz w:val="44"/>
          <w:szCs w:val="44"/>
        </w:rPr>
      </w:pPr>
      <w:r w:rsidRPr="00903715">
        <w:rPr>
          <w:rFonts w:ascii="Times New Roman" w:hAnsi="Times New Roman" w:cs="Times New Roman"/>
          <w:sz w:val="44"/>
          <w:szCs w:val="44"/>
        </w:rPr>
        <w:t>REFER</w:t>
      </w:r>
      <w:r>
        <w:rPr>
          <w:rFonts w:ascii="Times New Roman" w:hAnsi="Times New Roman" w:cs="Times New Roman"/>
          <w:sz w:val="44"/>
          <w:szCs w:val="44"/>
        </w:rPr>
        <w:t>E</w:t>
      </w:r>
      <w:r w:rsidRPr="00903715">
        <w:rPr>
          <w:rFonts w:ascii="Times New Roman" w:hAnsi="Times New Roman" w:cs="Times New Roman"/>
          <w:sz w:val="44"/>
          <w:szCs w:val="44"/>
        </w:rPr>
        <w:t>NCE</w:t>
      </w:r>
      <w:r>
        <w:rPr>
          <w:rFonts w:ascii="Times New Roman" w:hAnsi="Times New Roman" w:cs="Times New Roman"/>
          <w:sz w:val="44"/>
          <w:szCs w:val="44"/>
        </w:rPr>
        <w:t>S</w:t>
      </w:r>
    </w:p>
    <w:p w14:paraId="37E4A1BF" w14:textId="77777777" w:rsidR="00903715" w:rsidRDefault="00903715" w:rsidP="00D63C18">
      <w:pPr>
        <w:spacing w:line="312" w:lineRule="auto"/>
        <w:jc w:val="both"/>
        <w:rPr>
          <w:rFonts w:ascii="Times New Roman" w:hAnsi="Times New Roman" w:cs="Times New Roman"/>
        </w:rPr>
      </w:pPr>
    </w:p>
    <w:p w14:paraId="591DDD59" w14:textId="77777777" w:rsidR="00903715" w:rsidRDefault="00903715" w:rsidP="00D63C18">
      <w:pPr>
        <w:spacing w:line="312" w:lineRule="auto"/>
        <w:jc w:val="both"/>
        <w:rPr>
          <w:rFonts w:ascii="Times New Roman" w:hAnsi="Times New Roman" w:cs="Times New Roman"/>
        </w:rPr>
      </w:pPr>
    </w:p>
    <w:p w14:paraId="69C18BA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ALH Group Property Holdings Pty Ltd v Whittlesea CC (Corrected) [2017] VCAT 2164 (21 December 2017)</w:t>
      </w:r>
    </w:p>
    <w:p w14:paraId="41185EB7"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Baker Arms Hotel Pty Ltd v Victorian Commission for Gambling and Liquor Regulation [2014] VCAT 1192 (25 September 2014)</w:t>
      </w:r>
    </w:p>
    <w:p w14:paraId="5EF6576A"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Benmara Pty Ltd v Whittlesea CC [2015] VCAT 1463 (16 September 2015)</w:t>
      </w:r>
    </w:p>
    <w:p w14:paraId="2B845B8B"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Baretta’s Langwarrin Pty Ltd v Frankston CC [2016] VCAT 1247 (24 August 2016)</w:t>
      </w:r>
    </w:p>
    <w:p w14:paraId="0FB8BBC4"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Elfah Pty Ltd v Darebin CC [2017] VCAT 1036 (21 July 2017)</w:t>
      </w:r>
    </w:p>
    <w:p w14:paraId="3D0800A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Glenroy RSL Sub Branch Inc v Moreland CC [2017] VCAT 531 (19 April 2017)</w:t>
      </w:r>
    </w:p>
    <w:p w14:paraId="770D03B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Melbourne CC v Kingfish Victoria Pty Ltd and Anor [2013] VCAT 1130 (25 Jun 2013) A red dot case</w:t>
      </w:r>
    </w:p>
    <w:p w14:paraId="49538A06"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Molwin Pty Ltd v Mornington Peninsula SA [2015] VCAT 1982 (23 December 2015)</w:t>
      </w:r>
    </w:p>
    <w:p w14:paraId="24E2D13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Monash CC v L’Unico Pty Ltd (Review and Regulation) [2013] VCAT 1545 (4 September 2013)</w:t>
      </w:r>
    </w:p>
    <w:p w14:paraId="2C81C875"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Mount Alexander SC v Victorian Commission for Gambling and liquor Regulation and Ors [2013] VCAT 101 (14 February 2013) A red dot case</w:t>
      </w:r>
    </w:p>
    <w:p w14:paraId="09F40C4B"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Pakenham Racing Club Inc v Cardinia SC [2017] VCAT 72 (17 January 2017)</w:t>
      </w:r>
    </w:p>
    <w:p w14:paraId="72886046"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Sporting Legends Club Inc v Wellington SC [2016] VCAT 1405 (22 August 2016)</w:t>
      </w:r>
    </w:p>
    <w:p w14:paraId="74E2651F"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T C Rice Pty Lid v Cardinia SA [2018] VCAT 260 (23 February 2018)</w:t>
      </w:r>
    </w:p>
    <w:p w14:paraId="2C4E54AB" w14:textId="77777777" w:rsidR="00B019F4" w:rsidRDefault="00B019F4">
      <w:pPr>
        <w:spacing w:before="260" w:line="312" w:lineRule="auto"/>
        <w:ind w:left="567" w:right="991"/>
        <w:jc w:val="both"/>
        <w:rPr>
          <w:rFonts w:ascii="Times New Roman" w:hAnsi="Times New Roman" w:cs="Times New Roman"/>
        </w:rPr>
      </w:pPr>
    </w:p>
    <w:sectPr w:rsidR="00B019F4" w:rsidSect="00EA24E1">
      <w:footerReference w:type="defaul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2717" w14:textId="77777777" w:rsidR="0066382A" w:rsidRDefault="0066382A" w:rsidP="00F04EAA">
      <w:r>
        <w:separator/>
      </w:r>
    </w:p>
  </w:endnote>
  <w:endnote w:type="continuationSeparator" w:id="0">
    <w:p w14:paraId="7526F6A8" w14:textId="77777777" w:rsidR="0066382A" w:rsidRDefault="0066382A" w:rsidP="00F0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B9E" w14:textId="77777777" w:rsidR="00A9677F" w:rsidRPr="00EA24E1" w:rsidRDefault="00A9677F" w:rsidP="00EA24E1">
    <w:pPr>
      <w:pStyle w:val="Footer"/>
      <w:jc w:val="center"/>
      <w:rPr>
        <w:sz w:val="16"/>
        <w:szCs w:val="16"/>
      </w:rPr>
    </w:pPr>
    <w:r w:rsidRPr="00EA24E1">
      <w:rPr>
        <w:sz w:val="16"/>
        <w:szCs w:val="16"/>
      </w:rPr>
      <w:fldChar w:fldCharType="begin"/>
    </w:r>
    <w:r w:rsidRPr="00EA24E1">
      <w:rPr>
        <w:sz w:val="16"/>
        <w:szCs w:val="16"/>
      </w:rPr>
      <w:instrText xml:space="preserve"> PAGE   \* MERGEFORMAT </w:instrText>
    </w:r>
    <w:r w:rsidRPr="00EA24E1">
      <w:rPr>
        <w:sz w:val="16"/>
        <w:szCs w:val="16"/>
      </w:rPr>
      <w:fldChar w:fldCharType="separate"/>
    </w:r>
    <w:r w:rsidR="00052F25">
      <w:rPr>
        <w:noProof/>
        <w:sz w:val="16"/>
        <w:szCs w:val="16"/>
      </w:rPr>
      <w:t>19</w:t>
    </w:r>
    <w:r w:rsidRPr="00EA24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5536" w14:textId="77777777" w:rsidR="0066382A" w:rsidRDefault="0066382A" w:rsidP="00F04EAA">
      <w:r>
        <w:separator/>
      </w:r>
    </w:p>
  </w:footnote>
  <w:footnote w:type="continuationSeparator" w:id="0">
    <w:p w14:paraId="1226840D" w14:textId="77777777" w:rsidR="0066382A" w:rsidRDefault="0066382A" w:rsidP="00F0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D8"/>
    <w:multiLevelType w:val="hybridMultilevel"/>
    <w:tmpl w:val="5642A504"/>
    <w:lvl w:ilvl="0" w:tplc="06402F06">
      <w:start w:val="981"/>
      <w:numFmt w:val="bullet"/>
      <w:lvlText w:val="-"/>
      <w:lvlJc w:val="left"/>
      <w:pPr>
        <w:ind w:left="786" w:hanging="360"/>
      </w:pPr>
      <w:rPr>
        <w:rFonts w:ascii="Calibri" w:eastAsia="Calibri" w:hAnsi="Calibri"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4AC6A93"/>
    <w:multiLevelType w:val="hybridMultilevel"/>
    <w:tmpl w:val="AE34A058"/>
    <w:lvl w:ilvl="0" w:tplc="B83427F8">
      <w:start w:val="2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744EC"/>
    <w:multiLevelType w:val="hybridMultilevel"/>
    <w:tmpl w:val="98AA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2704B"/>
    <w:multiLevelType w:val="hybridMultilevel"/>
    <w:tmpl w:val="81065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71FA2"/>
    <w:multiLevelType w:val="hybridMultilevel"/>
    <w:tmpl w:val="7ADCC01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E212D"/>
    <w:multiLevelType w:val="hybridMultilevel"/>
    <w:tmpl w:val="CE6C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3F62"/>
    <w:multiLevelType w:val="hybridMultilevel"/>
    <w:tmpl w:val="BA62C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85DC7"/>
    <w:multiLevelType w:val="hybridMultilevel"/>
    <w:tmpl w:val="D530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03383"/>
    <w:multiLevelType w:val="hybridMultilevel"/>
    <w:tmpl w:val="9078DD14"/>
    <w:lvl w:ilvl="0" w:tplc="832819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D53EE"/>
    <w:multiLevelType w:val="hybridMultilevel"/>
    <w:tmpl w:val="5252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0B28F9"/>
    <w:multiLevelType w:val="hybridMultilevel"/>
    <w:tmpl w:val="4FA00220"/>
    <w:lvl w:ilvl="0" w:tplc="0B6CA436">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E481D"/>
    <w:multiLevelType w:val="hybridMultilevel"/>
    <w:tmpl w:val="3198E1F0"/>
    <w:lvl w:ilvl="0" w:tplc="326CA504">
      <w:start w:val="13"/>
      <w:numFmt w:val="decimal"/>
      <w:lvlText w:val="%1"/>
      <w:lvlJc w:val="left"/>
      <w:pPr>
        <w:ind w:left="720" w:hanging="360"/>
      </w:pPr>
      <w:rPr>
        <w:rFonts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AA692D"/>
    <w:multiLevelType w:val="hybridMultilevel"/>
    <w:tmpl w:val="40A8B98A"/>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A15D81"/>
    <w:multiLevelType w:val="hybridMultilevel"/>
    <w:tmpl w:val="354E4C78"/>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B66847"/>
    <w:multiLevelType w:val="hybridMultilevel"/>
    <w:tmpl w:val="467EC5C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6D77AB"/>
    <w:multiLevelType w:val="hybridMultilevel"/>
    <w:tmpl w:val="6832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7701340">
    <w:abstractNumId w:val="8"/>
  </w:num>
  <w:num w:numId="2" w16cid:durableId="1689214368">
    <w:abstractNumId w:val="3"/>
  </w:num>
  <w:num w:numId="3" w16cid:durableId="1752921087">
    <w:abstractNumId w:val="1"/>
  </w:num>
  <w:num w:numId="4" w16cid:durableId="973750767">
    <w:abstractNumId w:val="11"/>
  </w:num>
  <w:num w:numId="5" w16cid:durableId="574245495">
    <w:abstractNumId w:val="6"/>
  </w:num>
  <w:num w:numId="6" w16cid:durableId="392194203">
    <w:abstractNumId w:val="9"/>
  </w:num>
  <w:num w:numId="7" w16cid:durableId="822309680">
    <w:abstractNumId w:val="10"/>
  </w:num>
  <w:num w:numId="8" w16cid:durableId="740102509">
    <w:abstractNumId w:val="0"/>
  </w:num>
  <w:num w:numId="9" w16cid:durableId="875897126">
    <w:abstractNumId w:val="4"/>
  </w:num>
  <w:num w:numId="10" w16cid:durableId="573900920">
    <w:abstractNumId w:val="16"/>
  </w:num>
  <w:num w:numId="11" w16cid:durableId="1439525512">
    <w:abstractNumId w:val="5"/>
  </w:num>
  <w:num w:numId="12" w16cid:durableId="1655570675">
    <w:abstractNumId w:val="2"/>
  </w:num>
  <w:num w:numId="13" w16cid:durableId="582493692">
    <w:abstractNumId w:val="7"/>
  </w:num>
  <w:num w:numId="14" w16cid:durableId="1762337543">
    <w:abstractNumId w:val="15"/>
  </w:num>
  <w:num w:numId="15" w16cid:durableId="385958226">
    <w:abstractNumId w:val="12"/>
  </w:num>
  <w:num w:numId="16" w16cid:durableId="817921649">
    <w:abstractNumId w:val="14"/>
  </w:num>
  <w:num w:numId="17" w16cid:durableId="598761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AA"/>
    <w:rsid w:val="000006C8"/>
    <w:rsid w:val="00005AA7"/>
    <w:rsid w:val="00010FB8"/>
    <w:rsid w:val="00016335"/>
    <w:rsid w:val="00024D26"/>
    <w:rsid w:val="00046509"/>
    <w:rsid w:val="000526CD"/>
    <w:rsid w:val="00052F25"/>
    <w:rsid w:val="00064E5A"/>
    <w:rsid w:val="0007072B"/>
    <w:rsid w:val="00071BA2"/>
    <w:rsid w:val="00081E56"/>
    <w:rsid w:val="00085D99"/>
    <w:rsid w:val="000A0743"/>
    <w:rsid w:val="000B7A71"/>
    <w:rsid w:val="000C56E8"/>
    <w:rsid w:val="000C613C"/>
    <w:rsid w:val="000D1BEA"/>
    <w:rsid w:val="000E6D7C"/>
    <w:rsid w:val="00103F43"/>
    <w:rsid w:val="001272E8"/>
    <w:rsid w:val="00144851"/>
    <w:rsid w:val="0015534C"/>
    <w:rsid w:val="00160B2E"/>
    <w:rsid w:val="00166DC7"/>
    <w:rsid w:val="00173CFC"/>
    <w:rsid w:val="00173FB6"/>
    <w:rsid w:val="001744AA"/>
    <w:rsid w:val="001868BC"/>
    <w:rsid w:val="001948DF"/>
    <w:rsid w:val="001975A1"/>
    <w:rsid w:val="001E0526"/>
    <w:rsid w:val="001F6500"/>
    <w:rsid w:val="001F6D90"/>
    <w:rsid w:val="00201062"/>
    <w:rsid w:val="00203583"/>
    <w:rsid w:val="0021737F"/>
    <w:rsid w:val="002266E6"/>
    <w:rsid w:val="002300B0"/>
    <w:rsid w:val="0024267C"/>
    <w:rsid w:val="002458CC"/>
    <w:rsid w:val="002936A4"/>
    <w:rsid w:val="002B3169"/>
    <w:rsid w:val="002C516C"/>
    <w:rsid w:val="002C5314"/>
    <w:rsid w:val="002D3A17"/>
    <w:rsid w:val="002D3B6B"/>
    <w:rsid w:val="002E5568"/>
    <w:rsid w:val="00315E77"/>
    <w:rsid w:val="003562F6"/>
    <w:rsid w:val="003627B1"/>
    <w:rsid w:val="0037689C"/>
    <w:rsid w:val="003A450C"/>
    <w:rsid w:val="003A5E81"/>
    <w:rsid w:val="003B1764"/>
    <w:rsid w:val="003D2B0A"/>
    <w:rsid w:val="003D484B"/>
    <w:rsid w:val="003D6B0D"/>
    <w:rsid w:val="00470AFD"/>
    <w:rsid w:val="00470C37"/>
    <w:rsid w:val="00483458"/>
    <w:rsid w:val="004A17E1"/>
    <w:rsid w:val="004B460F"/>
    <w:rsid w:val="004C409C"/>
    <w:rsid w:val="004E16F8"/>
    <w:rsid w:val="004E254E"/>
    <w:rsid w:val="00557BC2"/>
    <w:rsid w:val="00560F34"/>
    <w:rsid w:val="00561D28"/>
    <w:rsid w:val="00562282"/>
    <w:rsid w:val="00570586"/>
    <w:rsid w:val="00570CF0"/>
    <w:rsid w:val="00572C57"/>
    <w:rsid w:val="005733C2"/>
    <w:rsid w:val="005737C8"/>
    <w:rsid w:val="00576BE2"/>
    <w:rsid w:val="00582C47"/>
    <w:rsid w:val="005939BA"/>
    <w:rsid w:val="005A7478"/>
    <w:rsid w:val="005A7859"/>
    <w:rsid w:val="005F21CC"/>
    <w:rsid w:val="00603DF8"/>
    <w:rsid w:val="00622606"/>
    <w:rsid w:val="00643E3B"/>
    <w:rsid w:val="006520C3"/>
    <w:rsid w:val="0066382A"/>
    <w:rsid w:val="00663F77"/>
    <w:rsid w:val="00667D9D"/>
    <w:rsid w:val="006A4E80"/>
    <w:rsid w:val="006A4F48"/>
    <w:rsid w:val="006B0460"/>
    <w:rsid w:val="006C36B8"/>
    <w:rsid w:val="006D1477"/>
    <w:rsid w:val="006E4AF9"/>
    <w:rsid w:val="00704E1C"/>
    <w:rsid w:val="007124C5"/>
    <w:rsid w:val="007519DA"/>
    <w:rsid w:val="00753C3B"/>
    <w:rsid w:val="00754CBE"/>
    <w:rsid w:val="007766A8"/>
    <w:rsid w:val="007B1449"/>
    <w:rsid w:val="007D5820"/>
    <w:rsid w:val="007E60F2"/>
    <w:rsid w:val="007E7AF2"/>
    <w:rsid w:val="007F2EA4"/>
    <w:rsid w:val="007F3D20"/>
    <w:rsid w:val="008338A4"/>
    <w:rsid w:val="00835DF7"/>
    <w:rsid w:val="00841BCE"/>
    <w:rsid w:val="008432C5"/>
    <w:rsid w:val="00843412"/>
    <w:rsid w:val="0085482E"/>
    <w:rsid w:val="008664BB"/>
    <w:rsid w:val="00873867"/>
    <w:rsid w:val="0088365C"/>
    <w:rsid w:val="00884B4A"/>
    <w:rsid w:val="008947D8"/>
    <w:rsid w:val="008A4EFD"/>
    <w:rsid w:val="008C0904"/>
    <w:rsid w:val="008C5C4F"/>
    <w:rsid w:val="008D0894"/>
    <w:rsid w:val="008F1C36"/>
    <w:rsid w:val="008F7B95"/>
    <w:rsid w:val="009012AE"/>
    <w:rsid w:val="00903715"/>
    <w:rsid w:val="009056B1"/>
    <w:rsid w:val="00910C68"/>
    <w:rsid w:val="00935692"/>
    <w:rsid w:val="00955BDF"/>
    <w:rsid w:val="00956CA2"/>
    <w:rsid w:val="00965153"/>
    <w:rsid w:val="00970A22"/>
    <w:rsid w:val="00987566"/>
    <w:rsid w:val="00996FED"/>
    <w:rsid w:val="009A1E36"/>
    <w:rsid w:val="009F732F"/>
    <w:rsid w:val="00A04471"/>
    <w:rsid w:val="00A22767"/>
    <w:rsid w:val="00A32E55"/>
    <w:rsid w:val="00A47A2D"/>
    <w:rsid w:val="00A63C23"/>
    <w:rsid w:val="00A66ED0"/>
    <w:rsid w:val="00A70B6D"/>
    <w:rsid w:val="00A9677F"/>
    <w:rsid w:val="00AC32E1"/>
    <w:rsid w:val="00AD7EB8"/>
    <w:rsid w:val="00AE7DAB"/>
    <w:rsid w:val="00B019F4"/>
    <w:rsid w:val="00B110AE"/>
    <w:rsid w:val="00B22367"/>
    <w:rsid w:val="00B379B9"/>
    <w:rsid w:val="00B53F59"/>
    <w:rsid w:val="00B55D13"/>
    <w:rsid w:val="00B60199"/>
    <w:rsid w:val="00B8663E"/>
    <w:rsid w:val="00B87FF5"/>
    <w:rsid w:val="00BA3DD4"/>
    <w:rsid w:val="00BA76AC"/>
    <w:rsid w:val="00BF0E40"/>
    <w:rsid w:val="00BF6689"/>
    <w:rsid w:val="00C03CAC"/>
    <w:rsid w:val="00C11075"/>
    <w:rsid w:val="00C17421"/>
    <w:rsid w:val="00C20487"/>
    <w:rsid w:val="00C453C9"/>
    <w:rsid w:val="00C47F53"/>
    <w:rsid w:val="00C81BBE"/>
    <w:rsid w:val="00C85758"/>
    <w:rsid w:val="00CB7425"/>
    <w:rsid w:val="00CB791C"/>
    <w:rsid w:val="00CC352B"/>
    <w:rsid w:val="00CD4621"/>
    <w:rsid w:val="00D00206"/>
    <w:rsid w:val="00D0258D"/>
    <w:rsid w:val="00D41242"/>
    <w:rsid w:val="00D4386E"/>
    <w:rsid w:val="00D50A95"/>
    <w:rsid w:val="00D5688F"/>
    <w:rsid w:val="00D63C18"/>
    <w:rsid w:val="00D64A19"/>
    <w:rsid w:val="00D77679"/>
    <w:rsid w:val="00D81C86"/>
    <w:rsid w:val="00D85145"/>
    <w:rsid w:val="00D9137F"/>
    <w:rsid w:val="00DB6F88"/>
    <w:rsid w:val="00DC4384"/>
    <w:rsid w:val="00DE4EE3"/>
    <w:rsid w:val="00E10CE2"/>
    <w:rsid w:val="00E17E6A"/>
    <w:rsid w:val="00E3503F"/>
    <w:rsid w:val="00E43F9F"/>
    <w:rsid w:val="00E871C7"/>
    <w:rsid w:val="00E90557"/>
    <w:rsid w:val="00EA24E1"/>
    <w:rsid w:val="00EB41AD"/>
    <w:rsid w:val="00ED6D93"/>
    <w:rsid w:val="00F04614"/>
    <w:rsid w:val="00F04EAA"/>
    <w:rsid w:val="00F30C5E"/>
    <w:rsid w:val="00F32107"/>
    <w:rsid w:val="00F6072A"/>
    <w:rsid w:val="00F71F04"/>
    <w:rsid w:val="00F814F5"/>
    <w:rsid w:val="00F90E06"/>
    <w:rsid w:val="00F932F8"/>
    <w:rsid w:val="00FA5FF9"/>
    <w:rsid w:val="00FA7F53"/>
    <w:rsid w:val="00FB0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6008"/>
  <w15:docId w15:val="{AA90250E-D126-44B6-B821-AC23F6C5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EAA"/>
    <w:rPr>
      <w:rFonts w:ascii="Tahoma" w:hAnsi="Tahoma" w:cs="Tahoma"/>
      <w:sz w:val="16"/>
      <w:szCs w:val="16"/>
    </w:rPr>
  </w:style>
  <w:style w:type="character" w:customStyle="1" w:styleId="BalloonTextChar">
    <w:name w:val="Balloon Text Char"/>
    <w:basedOn w:val="DefaultParagraphFont"/>
    <w:link w:val="BalloonText"/>
    <w:uiPriority w:val="99"/>
    <w:semiHidden/>
    <w:rsid w:val="00F04EAA"/>
    <w:rPr>
      <w:rFonts w:ascii="Tahoma" w:hAnsi="Tahoma" w:cs="Tahoma"/>
      <w:sz w:val="16"/>
      <w:szCs w:val="16"/>
    </w:rPr>
  </w:style>
  <w:style w:type="paragraph" w:customStyle="1" w:styleId="Default">
    <w:name w:val="Default"/>
    <w:rsid w:val="00F04EAA"/>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F04EAA"/>
    <w:rPr>
      <w:color w:val="0000FF" w:themeColor="hyperlink"/>
      <w:u w:val="single"/>
    </w:rPr>
  </w:style>
  <w:style w:type="character" w:styleId="FootnoteReference">
    <w:name w:val="footnote reference"/>
    <w:basedOn w:val="DefaultParagraphFont"/>
    <w:uiPriority w:val="99"/>
    <w:semiHidden/>
    <w:rsid w:val="00F04EAA"/>
    <w:rPr>
      <w:vertAlign w:val="superscript"/>
    </w:rPr>
  </w:style>
  <w:style w:type="paragraph" w:styleId="FootnoteText">
    <w:name w:val="footnote text"/>
    <w:basedOn w:val="Normal"/>
    <w:link w:val="FootnoteTextChar"/>
    <w:uiPriority w:val="99"/>
    <w:semiHidden/>
    <w:unhideWhenUsed/>
    <w:rsid w:val="00F04EAA"/>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F04EAA"/>
    <w:rPr>
      <w:rFonts w:ascii="Calibri" w:eastAsia="Calibri" w:hAnsi="Calibri" w:cs="Times New Roman"/>
      <w:sz w:val="20"/>
      <w:szCs w:val="20"/>
      <w:lang w:val="en-US"/>
    </w:rPr>
  </w:style>
  <w:style w:type="paragraph" w:customStyle="1" w:styleId="IntroParagraphtoeachChapter">
    <w:name w:val="Intro Paragraph to each Chapter"/>
    <w:link w:val="IntroParagraphtoeachChapterChar"/>
    <w:qFormat/>
    <w:rsid w:val="00F04EAA"/>
    <w:pPr>
      <w:pBdr>
        <w:bottom w:val="single" w:sz="4" w:space="1" w:color="auto"/>
      </w:pBdr>
      <w:spacing w:before="60"/>
      <w:jc w:val="both"/>
    </w:pPr>
    <w:rPr>
      <w:rFonts w:ascii="Palatino Linotype" w:eastAsia="Times New Roman" w:hAnsi="Palatino Linotype" w:cs="Times New Roman"/>
      <w:lang w:val="en-US"/>
    </w:rPr>
  </w:style>
  <w:style w:type="character" w:customStyle="1" w:styleId="IntroParagraphtoeachChapterChar">
    <w:name w:val="Intro Paragraph to each Chapter Char"/>
    <w:basedOn w:val="DefaultParagraphFont"/>
    <w:link w:val="IntroParagraphtoeachChapter"/>
    <w:rsid w:val="00F04EAA"/>
    <w:rPr>
      <w:rFonts w:ascii="Palatino Linotype" w:eastAsia="Times New Roman" w:hAnsi="Palatino Linotype" w:cs="Times New Roman"/>
      <w:lang w:val="en-US"/>
    </w:rPr>
  </w:style>
  <w:style w:type="paragraph" w:styleId="Header">
    <w:name w:val="header"/>
    <w:basedOn w:val="Normal"/>
    <w:link w:val="Head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04E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04E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04EAA"/>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ce2e511a10594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A8955787</value>
    </field>
    <field name="Objective-Title">
      <value order="0">Review of VCAT Gambling Decisions</value>
    </field>
    <field name="Objective-Description">
      <value order="0"/>
    </field>
    <field name="Objective-CreationStamp">
      <value order="0">2022-07-22T11:27:05Z</value>
    </field>
    <field name="Objective-IsApproved">
      <value order="0">false</value>
    </field>
    <field name="Objective-IsPublished">
      <value order="0">true</value>
    </field>
    <field name="Objective-DatePublished">
      <value order="0">2022-07-23T11:30:14Z</value>
    </field>
    <field name="Objective-ModificationStamp">
      <value order="0">2023-05-10T01:33:48Z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vA11447384</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BC4224A-5B19-4FF7-ACBD-20C602CE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8831</Words>
  <Characters>50340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2</cp:revision>
  <cp:lastPrinted>2018-12-28T03:45:00Z</cp:lastPrinted>
  <dcterms:created xsi:type="dcterms:W3CDTF">2022-07-22T04:18:00Z</dcterms:created>
  <dcterms:modified xsi:type="dcterms:W3CDTF">2022-07-22T04:18:00Z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A8955787</vt:lpwstr>
  </property>
  <property fmtid="{D5CDD505-2E9C-101B-9397-08002B2CF9AE}" pid="4" name="Objective-Title">
    <vt:lpwstr>Review of VCAT Gambling Decisions</vt:lpwstr>
  </property>
  <property fmtid="{D5CDD505-2E9C-101B-9397-08002B2CF9AE}" pid="5" name="Objective-Description">
    <vt:lpwstr/>
  </property>
  <property fmtid="{D5CDD505-2E9C-101B-9397-08002B2CF9AE}" pid="6" name="Objective-CreationStamp">
    <vt:filetime>2022-07-22T11:27:05Z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2022-07-23T11:30:14Z</vt:filetime>
  </property>
  <property fmtid="{D5CDD505-2E9C-101B-9397-08002B2CF9AE}" pid="10" name="Objective-ModificationStamp">
    <vt:filetime>2023-05-10T01:33:48Z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vA11447384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Date">
    <vt:lpwstr/>
  </property>
  <property fmtid="{D5CDD505-2E9C-101B-9397-08002B2CF9AE}" pid="25" name="Objective-Records Audit Vital Record">
    <vt:lpwstr/>
  </property>
  <property fmtid="{D5CDD505-2E9C-101B-9397-08002B2CF9AE}" pid="26" name="Objective-Comment">
    <vt:lpwstr/>
  </property>
  <property fmtid="{D5CDD505-2E9C-101B-9397-08002B2CF9AE}" pid="27" name="Objective-Business Unit [system]">
    <vt:lpwstr>Community Development</vt:lpwstr>
  </property>
  <property fmtid="{D5CDD505-2E9C-101B-9397-08002B2CF9AE}" pid="28" name="Objective-Corporate Document Type [system]">
    <vt:lpwstr/>
  </property>
  <property fmtid="{D5CDD505-2E9C-101B-9397-08002B2CF9AE}" pid="29" name="Objective-Records Audit Vital Record [system]">
    <vt:lpwstr/>
  </property>
  <property fmtid="{D5CDD505-2E9C-101B-9397-08002B2CF9AE}" pid="30" name="Objective-Records Audit Date [system]">
    <vt:lpwstr/>
  </property>
  <property fmtid="{D5CDD505-2E9C-101B-9397-08002B2CF9AE}" pid="31" name="Objective-Connect Creator">
    <vt:lpwstr/>
  </property>
  <property fmtid="{D5CDD505-2E9C-101B-9397-08002B2CF9AE}" pid="32" name="Objective-Bulk Update Status">
    <vt:lpwstr/>
  </property>
</Properties>
</file>